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6F" w:rsidRDefault="0020716F" w:rsidP="0020716F">
      <w:pPr>
        <w:pStyle w:val="a3"/>
      </w:pPr>
      <w:r>
        <w:t>Виолетта Яковлевна Аскарова</w:t>
      </w:r>
    </w:p>
    <w:p w:rsidR="0020716F" w:rsidRDefault="0020716F" w:rsidP="0020716F">
      <w:pPr>
        <w:pStyle w:val="a4"/>
      </w:pPr>
      <w:r>
        <w:t>доктор филологических наук,</w:t>
      </w:r>
      <w:r>
        <w:br/>
        <w:t>профессор кафедры</w:t>
      </w:r>
      <w:r>
        <w:br/>
        <w:t>библиотечно-информационной</w:t>
      </w:r>
      <w:r>
        <w:br/>
        <w:t>деятельности</w:t>
      </w:r>
    </w:p>
    <w:p w:rsidR="0020716F" w:rsidRDefault="0020716F" w:rsidP="0020716F">
      <w:pPr>
        <w:pStyle w:val="a4"/>
      </w:pPr>
      <w:r>
        <w:t>Челябинский государственный</w:t>
      </w:r>
      <w:r>
        <w:br/>
        <w:t>институт культуры, Челябинск, Россия</w:t>
      </w:r>
    </w:p>
    <w:p w:rsidR="0020716F" w:rsidRDefault="0020716F" w:rsidP="0020716F">
      <w:pPr>
        <w:pStyle w:val="a4"/>
      </w:pPr>
      <w:r>
        <w:t>E-</w:t>
      </w:r>
      <w:proofErr w:type="spellStart"/>
      <w:r>
        <w:t>mail</w:t>
      </w:r>
      <w:proofErr w:type="spellEnd"/>
      <w:r>
        <w:t>: viovita@yandex.ru</w:t>
      </w:r>
    </w:p>
    <w:p w:rsidR="0020716F" w:rsidRDefault="0020716F" w:rsidP="0020716F">
      <w:pPr>
        <w:pStyle w:val="a3"/>
      </w:pPr>
      <w:r>
        <w:t xml:space="preserve">Наталья Львовна </w:t>
      </w:r>
      <w:proofErr w:type="spellStart"/>
      <w:r>
        <w:t>Зыховская</w:t>
      </w:r>
      <w:proofErr w:type="spellEnd"/>
    </w:p>
    <w:p w:rsidR="0020716F" w:rsidRDefault="0020716F" w:rsidP="0020716F">
      <w:pPr>
        <w:pStyle w:val="a4"/>
      </w:pPr>
      <w:r>
        <w:t>доктор филологических наук,</w:t>
      </w:r>
      <w:r>
        <w:br/>
        <w:t>профессор к??????</w:t>
      </w:r>
      <w:r>
        <w:br/>
        <w:t>???????? ????? ? ??????????</w:t>
      </w:r>
    </w:p>
    <w:p w:rsidR="0020716F" w:rsidRDefault="0020716F" w:rsidP="0020716F">
      <w:pPr>
        <w:pStyle w:val="a4"/>
      </w:pPr>
      <w:r>
        <w:t>????-????????? ??????????????? ???????????</w:t>
      </w:r>
      <w:r>
        <w:br/>
        <w:t>(???????????? ?????????????????</w:t>
      </w:r>
      <w:r>
        <w:br/>
        <w:t>???????????), ?????????, ??????</w:t>
      </w:r>
    </w:p>
    <w:p w:rsidR="0020716F" w:rsidRDefault="0020716F" w:rsidP="0020716F">
      <w:pPr>
        <w:pStyle w:val="a4"/>
      </w:pPr>
      <w:r>
        <w:t>E-</w:t>
      </w:r>
      <w:proofErr w:type="spellStart"/>
      <w:r>
        <w:t>mail</w:t>
      </w:r>
      <w:proofErr w:type="spellEnd"/>
      <w:r>
        <w:t>: zykhovskaianl@susu.ru</w:t>
      </w:r>
    </w:p>
    <w:p w:rsidR="0020716F" w:rsidRDefault="0020716F" w:rsidP="0020716F">
      <w:pPr>
        <w:pStyle w:val="a4"/>
      </w:pPr>
      <w:proofErr w:type="spellStart"/>
      <w:r>
        <w:t>афедры</w:t>
      </w:r>
      <w:proofErr w:type="spellEnd"/>
      <w:r>
        <w:br/>
        <w:t>русского языка и литературы</w:t>
      </w:r>
    </w:p>
    <w:p w:rsidR="0020716F" w:rsidRDefault="0020716F" w:rsidP="0020716F">
      <w:pPr>
        <w:pStyle w:val="a4"/>
      </w:pPr>
      <w:r>
        <w:t>Южно-Уральский государственный университет</w:t>
      </w:r>
      <w:r>
        <w:br/>
        <w:t>(национальный исследовательский</w:t>
      </w:r>
      <w:r>
        <w:br/>
        <w:t>университет), Челябинск, Россия</w:t>
      </w:r>
    </w:p>
    <w:p w:rsidR="0020716F" w:rsidRDefault="0020716F" w:rsidP="0020716F">
      <w:pPr>
        <w:pStyle w:val="a4"/>
      </w:pPr>
      <w:r>
        <w:t>E-</w:t>
      </w:r>
      <w:proofErr w:type="spellStart"/>
      <w:r>
        <w:t>mail</w:t>
      </w:r>
      <w:proofErr w:type="spellEnd"/>
      <w:r>
        <w:t>: zykhovskaianl@susu.ru</w:t>
      </w:r>
    </w:p>
    <w:p w:rsidR="0020716F" w:rsidRDefault="0020716F" w:rsidP="0020716F">
      <w:pPr>
        <w:pStyle w:val="a3"/>
      </w:pPr>
      <w:r>
        <w:t xml:space="preserve">Владимир Яковлевич </w:t>
      </w:r>
      <w:proofErr w:type="spellStart"/>
      <w:r>
        <w:t>Рушанин</w:t>
      </w:r>
      <w:proofErr w:type="spellEnd"/>
      <w:r>
        <w:t xml:space="preserve"> </w:t>
      </w:r>
    </w:p>
    <w:p w:rsidR="0020716F" w:rsidRDefault="0020716F" w:rsidP="0020716F">
      <w:pPr>
        <w:pStyle w:val="a4"/>
      </w:pPr>
      <w:r>
        <w:t>доктор исторических наук,</w:t>
      </w:r>
      <w:r>
        <w:br/>
        <w:t>профессор кафедры истории</w:t>
      </w:r>
      <w:r>
        <w:br/>
        <w:t xml:space="preserve">и </w:t>
      </w:r>
      <w:proofErr w:type="spellStart"/>
      <w:r>
        <w:t>музеологии</w:t>
      </w:r>
      <w:proofErr w:type="spellEnd"/>
      <w:r>
        <w:t xml:space="preserve"> </w:t>
      </w:r>
    </w:p>
    <w:p w:rsidR="0020716F" w:rsidRDefault="0020716F" w:rsidP="0020716F">
      <w:pPr>
        <w:pStyle w:val="a4"/>
      </w:pPr>
      <w:r>
        <w:t>Челябинский государственный</w:t>
      </w:r>
      <w:r>
        <w:br/>
        <w:t>институт культуры, Челябинск, Россия</w:t>
      </w:r>
    </w:p>
    <w:p w:rsidR="0020716F" w:rsidRDefault="0020716F" w:rsidP="0020716F">
      <w:pPr>
        <w:pStyle w:val="a4"/>
      </w:pPr>
      <w:r>
        <w:t>E-</w:t>
      </w:r>
      <w:proofErr w:type="spellStart"/>
      <w:r>
        <w:t>mail</w:t>
      </w:r>
      <w:proofErr w:type="spellEnd"/>
      <w:r>
        <w:t>: rushanin@chgaki.ru</w:t>
      </w:r>
    </w:p>
    <w:p w:rsidR="0020716F" w:rsidRDefault="0020716F" w:rsidP="0020716F">
      <w:pPr>
        <w:pStyle w:val="a5"/>
        <w:spacing w:before="283" w:after="283"/>
      </w:pPr>
      <w:r>
        <w:t>Чтение как инструмент воспитания и самовоспитания:</w:t>
      </w:r>
      <w:r>
        <w:br/>
        <w:t>от назидания — к «празднику непослушания»</w:t>
      </w:r>
    </w:p>
    <w:p w:rsidR="0020716F" w:rsidRDefault="0020716F" w:rsidP="0020716F">
      <w:pPr>
        <w:pStyle w:val="a7"/>
      </w:pPr>
      <w:r>
        <w:t xml:space="preserve">В настоящей статье рассматриваются отношения взрослого и детского миров в сфере чтения в динамике социокультурного процесса: от цивилизаций Древнего Востока до современности. Эти отношения определяются доминирующим типом культуры, конкретно-­историческим моментом, системой сложившихся представлений о значении чтения для воспитания, познания, формирования нравственности и ценностей подрастающего поколения. Более детально рассмотрена нынешняя ситуация, для которой характерна эмансипация детско-юношеской категории читателей от мира взрослых и институтов инфраструктуры чтения; ее отличают интернет-ориентированность, активное участие в различных формах сетевой коммуникации по поводу книги и чтения. Также обоснована необходимость регулярного мониторинга сетевых читательских практик детей и юношества, что позволит гармонизировать взаимодействие поколений, привести стратегии и практики деятельности институтов инфраструктуры чтения в соответствие со сложившимися реалиями цифрового века. </w:t>
      </w:r>
    </w:p>
    <w:p w:rsidR="0020716F" w:rsidRDefault="0020716F" w:rsidP="0020716F">
      <w:pPr>
        <w:pStyle w:val="a7"/>
      </w:pPr>
      <w:r>
        <w:rPr>
          <w:b/>
          <w:bCs/>
          <w:i w:val="0"/>
          <w:iCs w:val="0"/>
        </w:rPr>
        <w:t>Ключевые слова</w:t>
      </w:r>
      <w:r>
        <w:rPr>
          <w:i w:val="0"/>
          <w:iCs w:val="0"/>
        </w:rPr>
        <w:t>:</w:t>
      </w:r>
      <w:r>
        <w:t xml:space="preserve"> чтение, подрастающее поколение, </w:t>
      </w:r>
      <w:proofErr w:type="spellStart"/>
      <w:r>
        <w:t>постфигуративность</w:t>
      </w:r>
      <w:proofErr w:type="spellEnd"/>
      <w:r>
        <w:t xml:space="preserve">, </w:t>
      </w:r>
      <w:proofErr w:type="spellStart"/>
      <w:r>
        <w:t>кофигуративность</w:t>
      </w:r>
      <w:proofErr w:type="spellEnd"/>
      <w:r>
        <w:t xml:space="preserve">, </w:t>
      </w:r>
      <w:proofErr w:type="spellStart"/>
      <w:r>
        <w:t>префигуративность</w:t>
      </w:r>
      <w:proofErr w:type="spellEnd"/>
      <w:r>
        <w:t>, «зет», «альфа», институты инфраструктуры чтения, сетевое пространство, содержание и цели чтения, стимулирование читательской активности</w:t>
      </w:r>
    </w:p>
    <w:p w:rsidR="004B4096" w:rsidRDefault="004B4096"/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</w:pPr>
      <w:r w:rsidRPr="0020716F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lastRenderedPageBreak/>
        <w:t>Анна Сергеевна Быкова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соискатель ученой степени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кандидата культурологии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заведующая отделением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библиотечного клуба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Фундаментальная библиотека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Военно-медицинской академии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им. С. М. Кирова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Министерства обороны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Российской Федерации,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Санкт-Петербург, Россия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E-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mail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: rickystanf@gmail.com</w:t>
      </w:r>
    </w:p>
    <w:p w:rsidR="0020716F" w:rsidRPr="0020716F" w:rsidRDefault="0020716F" w:rsidP="0020716F">
      <w:pPr>
        <w:autoSpaceDE w:val="0"/>
        <w:autoSpaceDN w:val="0"/>
        <w:adjustRightInd w:val="0"/>
        <w:spacing w:before="397" w:after="397" w:line="288" w:lineRule="auto"/>
        <w:jc w:val="center"/>
        <w:textAlignment w:val="center"/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</w:pP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t>Наставничество в зарубежных библиотеках</w:t>
      </w:r>
    </w:p>
    <w:p w:rsidR="0020716F" w:rsidRPr="0020716F" w:rsidRDefault="0020716F" w:rsidP="0020716F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В последнее время тема наставничества поднимается все чаще, однако, несмотря на возросший к ней интерес и повсеместную распространенность наставничества в библиотечных трудовых коллективах, с научной точки зрения оно освещается редко, особенно на русском языке. С помощью доступных публикаций на английском языке изучен опыт организация наставничества в библиотеках университетов Нигерии и Соединенных Штатов Америки. Выделены черты, характерные для наставничества в разных странах, определено, какое значение ему придают зарубежные коллеги. Описаны кейсы организации и оптимизации наставничества в конкретных библиотеках. Подчеркнута важность наставничества и его положительное влияние на сплочение библиотечного коллектива.</w:t>
      </w:r>
    </w:p>
    <w:p w:rsidR="0020716F" w:rsidRPr="0020716F" w:rsidRDefault="0020716F" w:rsidP="0020716F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b/>
          <w:bCs/>
          <w:color w:val="000000"/>
          <w:sz w:val="20"/>
          <w:szCs w:val="20"/>
        </w:rPr>
        <w:t>Ключевые слова</w:t>
      </w:r>
      <w:r w:rsidRPr="0020716F">
        <w:rPr>
          <w:rFonts w:ascii="PT Astra Serif" w:hAnsi="PT Astra Serif" w:cs="PT Astra Serif"/>
          <w:color w:val="000000"/>
          <w:sz w:val="20"/>
          <w:szCs w:val="20"/>
        </w:rPr>
        <w:t>: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библиотечное наставничество, трудовая адаптация, библиотеки университетов, Соединенные Штаты Америки, Нигерия</w:t>
      </w:r>
    </w:p>
    <w:p w:rsidR="0020716F" w:rsidRDefault="0020716F"/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</w:pPr>
      <w:r w:rsidRPr="0020716F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 xml:space="preserve">Борис Даниилович </w:t>
      </w:r>
      <w:proofErr w:type="spellStart"/>
      <w:r w:rsidRPr="0020716F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Шмыров</w:t>
      </w:r>
      <w:proofErr w:type="spellEnd"/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кандидат исторических наук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Челябинск, Россия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E-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mail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: borisdaniil_55@mail.ru</w:t>
      </w:r>
    </w:p>
    <w:p w:rsidR="0020716F" w:rsidRPr="0020716F" w:rsidRDefault="0020716F" w:rsidP="0020716F">
      <w:pPr>
        <w:autoSpaceDE w:val="0"/>
        <w:autoSpaceDN w:val="0"/>
        <w:adjustRightInd w:val="0"/>
        <w:spacing w:before="397" w:after="397" w:line="288" w:lineRule="auto"/>
        <w:jc w:val="center"/>
        <w:textAlignment w:val="center"/>
        <w:rPr>
          <w:rFonts w:ascii="PT Astra Serif" w:hAnsi="PT Astra Serif" w:cs="PT Astra Serif"/>
          <w:b/>
          <w:bCs/>
          <w:i/>
          <w:iCs/>
          <w:caps/>
          <w:color w:val="000000"/>
          <w:sz w:val="24"/>
          <w:szCs w:val="24"/>
        </w:rPr>
      </w:pP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t>Источниковедческая база изучения</w:t>
      </w: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  <w:t>германского концентрационного лагеря «Аушвиц»</w:t>
      </w:r>
    </w:p>
    <w:p w:rsidR="0020716F" w:rsidRPr="0020716F" w:rsidRDefault="0020716F" w:rsidP="0020716F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b/>
          <w:b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Информация о библиографии германского концентрационного лагеря «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Аушвиц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», действовавшего с июня 1940 по январь 1945 гг. рядом с городом Освенцим, Польша. Краткий анализ публикаций на русском языке различных жанров в газетах, журналах и книгах 1945–2022 гг. о событиях в КЛ «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Аушвиц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».</w:t>
      </w:r>
    </w:p>
    <w:p w:rsidR="0020716F" w:rsidRPr="0020716F" w:rsidRDefault="0020716F" w:rsidP="0020716F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b/>
          <w:bCs/>
          <w:color w:val="000000"/>
          <w:sz w:val="20"/>
          <w:szCs w:val="20"/>
        </w:rPr>
        <w:t>Ключевые слова</w:t>
      </w:r>
      <w:r w:rsidRPr="0020716F">
        <w:rPr>
          <w:rFonts w:ascii="PT Astra Serif" w:hAnsi="PT Astra Serif" w:cs="PT Astra Serif"/>
          <w:color w:val="000000"/>
          <w:sz w:val="20"/>
          <w:szCs w:val="20"/>
        </w:rPr>
        <w:t xml:space="preserve">: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Аушвиц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, Освенцим, Холокост,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Шоа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, советские военнопленные, узники, «окончательное решение еврейского вопроса», газовая камера, крематорий</w:t>
      </w:r>
    </w:p>
    <w:p w:rsidR="0020716F" w:rsidRDefault="0020716F"/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</w:pPr>
      <w:r w:rsidRPr="0020716F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 xml:space="preserve">Злата Дмитриевна </w:t>
      </w:r>
      <w:proofErr w:type="spellStart"/>
      <w:r w:rsidRPr="0020716F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Анисина</w:t>
      </w:r>
      <w:proofErr w:type="spellEnd"/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аспирант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кафедры философии и культурологии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Челябинский государственный институт культуры, Челябинск, Россия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  <w:t>E-mail: anisina.zlata94@gmail.com</w:t>
      </w:r>
    </w:p>
    <w:p w:rsidR="0020716F" w:rsidRPr="0020716F" w:rsidRDefault="0020716F" w:rsidP="0020716F">
      <w:pPr>
        <w:autoSpaceDE w:val="0"/>
        <w:autoSpaceDN w:val="0"/>
        <w:adjustRightInd w:val="0"/>
        <w:spacing w:before="397" w:after="397" w:line="288" w:lineRule="auto"/>
        <w:jc w:val="center"/>
        <w:textAlignment w:val="center"/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</w:pP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lastRenderedPageBreak/>
        <w:t>Актуализация художественного наследия</w:t>
      </w: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  <w:t>в контексте цифровизации культуры</w:t>
      </w: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  <w:t>(на примере изобразительного искусства)</w:t>
      </w:r>
    </w:p>
    <w:p w:rsidR="0020716F" w:rsidRPr="0020716F" w:rsidRDefault="0020716F" w:rsidP="0020716F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В статье затрагиваются проблемы актуализации культурного наследия. Поднимаются вопросы, связанные с сохранением, использованием и государственной охраной объектов культурного наследия. Описываются различные подходы к пониманию актуализации культурного наследия. Затрагиваются проблемы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коммодификации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и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цифровизации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культурного наследия. Систематизируются проблемы и перспективы в области актуализации художественного наследия: авторство и подлинность, морально-этическая сторона, низкая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насмотренность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в изобразительном искусстве — проблемы общественной экспертизы, разница поколений, лакуны профессиональной подготовки и переподготовки кадров, вопросы самообразования, нехватка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офлайновой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составляющей образования и самообразования в области теории искусства, огромный пласт изобразительного искусства не оцифрован, рамки закрытости достояния, конфликт специализаций. Делается вывод о том, что несмотря на все вышеуказанные проблемы и вызовы, Россия в ХХI веке имеет большой потенциал для актуализации своего культурного наследия и благоприятные перспективы. Важным является объединение государства, научного сообщества и общественности в этом направлении.</w:t>
      </w:r>
    </w:p>
    <w:p w:rsidR="0020716F" w:rsidRPr="0020716F" w:rsidRDefault="0020716F" w:rsidP="0020716F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b/>
          <w:bCs/>
          <w:color w:val="000000"/>
          <w:sz w:val="20"/>
          <w:szCs w:val="20"/>
        </w:rPr>
        <w:t xml:space="preserve">Ключевые слова: 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актуализация</w:t>
      </w:r>
      <w:r w:rsidRPr="0020716F">
        <w:rPr>
          <w:rFonts w:ascii="PT Astra Serif" w:hAnsi="PT Astra Serif" w:cs="PT Astra Serif"/>
          <w:color w:val="000000"/>
          <w:sz w:val="20"/>
          <w:szCs w:val="20"/>
        </w:rPr>
        <w:t xml:space="preserve">, 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культурное наследие, художественное наследие, актуализация художественного наследия, изобразительное искусство, цифровая культура,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цифровизация</w:t>
      </w:r>
      <w:proofErr w:type="spellEnd"/>
    </w:p>
    <w:p w:rsidR="0020716F" w:rsidRDefault="0020716F"/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</w:pPr>
      <w:r w:rsidRPr="0020716F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Марина Игоревна Б????????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</w:pPr>
      <w:proofErr w:type="spellStart"/>
      <w:r w:rsidRPr="0020716F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еспалова</w:t>
      </w:r>
      <w:proofErr w:type="spellEnd"/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аспирант отдела теории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и истории культуры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Научно-исследовательский институт гуманитарных наук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при Правительстве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Республики Мордовия,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Саранск, Россия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  <w:t>E-mail: mbespalova2013@yandex.ru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  <w:t>ORCID 0000-0003-2739-1956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</w:pPr>
      <w:r w:rsidRPr="0020716F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Ирина Валерьевна Лаптева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доктор философских наук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главный научный сотрудник,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заведующий отделом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теории и истории культуры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Научно-исследовательский институт гуманитарных наук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при Правительстве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Республики Мордовия,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Саранск, Россия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  <w:t>E-mail: laptevaiv@yandex.ru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  <w:t>ORCID 0000-0002-0444-4237</w:t>
      </w:r>
    </w:p>
    <w:p w:rsidR="0020716F" w:rsidRPr="0020716F" w:rsidRDefault="0020716F" w:rsidP="0020716F">
      <w:pPr>
        <w:autoSpaceDE w:val="0"/>
        <w:autoSpaceDN w:val="0"/>
        <w:adjustRightInd w:val="0"/>
        <w:spacing w:before="397" w:after="397" w:line="288" w:lineRule="auto"/>
        <w:jc w:val="center"/>
        <w:textAlignment w:val="center"/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</w:pP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t>Актуальные проблемы и перспективы</w:t>
      </w: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  <w:t>продвижения туристических проектов в СМИ</w:t>
      </w:r>
    </w:p>
    <w:p w:rsidR="0020716F" w:rsidRPr="0020716F" w:rsidRDefault="0020716F" w:rsidP="0020716F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lastRenderedPageBreak/>
        <w:t xml:space="preserve">Актуальность темы выражается в необходимости эффективного продвижения туристических проектов в условиях растущей конкуренции на рынке туристических услуг. В данной статье рассматриваются проблемы и перспективы популяризации туристических предложений в средствах массовой информации. Основное внимание уделено анализу преимуществ и недостатков различных инструментов продвижения туризма. На основе анкетирования потребителей определяются основные барьеры, с которыми сталкиваются представители туристической индустрии при использовании СМИ. В заключении приведены конкретные рекомендации по улучшению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медиастратегий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.</w:t>
      </w:r>
    </w:p>
    <w:p w:rsidR="0020716F" w:rsidRPr="0020716F" w:rsidRDefault="0020716F" w:rsidP="0020716F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b/>
          <w:bCs/>
          <w:color w:val="000000"/>
          <w:sz w:val="20"/>
          <w:szCs w:val="20"/>
        </w:rPr>
        <w:t>Ключевые слова</w:t>
      </w:r>
      <w:r w:rsidRPr="0020716F">
        <w:rPr>
          <w:rFonts w:ascii="PT Astra Serif" w:hAnsi="PT Astra Serif" w:cs="PT Astra Serif"/>
          <w:color w:val="000000"/>
          <w:sz w:val="20"/>
          <w:szCs w:val="20"/>
        </w:rPr>
        <w:t>: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туризм, продвижение туризма, средства массовой информации, СМИ, социальные сети, маршруты, туристические объекты</w:t>
      </w:r>
    </w:p>
    <w:p w:rsidR="0020716F" w:rsidRDefault="0020716F"/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</w:pPr>
      <w:r w:rsidRPr="0020716F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 xml:space="preserve">Ба </w:t>
      </w:r>
      <w:proofErr w:type="spellStart"/>
      <w:r w:rsidRPr="0020716F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Ваньли</w:t>
      </w:r>
      <w:proofErr w:type="spellEnd"/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аспирант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Санкт-Петербургский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государственный университет, Санкт-Петербург, Россия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  <w:t>E-mail: st091489@student.spbu.ru</w:t>
      </w:r>
    </w:p>
    <w:p w:rsidR="0020716F" w:rsidRPr="0020716F" w:rsidRDefault="0020716F" w:rsidP="0020716F">
      <w:pPr>
        <w:autoSpaceDE w:val="0"/>
        <w:autoSpaceDN w:val="0"/>
        <w:adjustRightInd w:val="0"/>
        <w:spacing w:before="397" w:after="397" w:line="288" w:lineRule="auto"/>
        <w:jc w:val="center"/>
        <w:textAlignment w:val="center"/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</w:pP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t>Традиции в современной архитектуре</w:t>
      </w: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  <w:t>буддийских храмов в Китае</w:t>
      </w:r>
    </w:p>
    <w:p w:rsidR="0020716F" w:rsidRPr="0020716F" w:rsidRDefault="0020716F" w:rsidP="0020716F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В последние сорок лет современная архитектура Китая стремительно развивалась. Различные типы зданий отвечают потребностям современного образа жизни. Можно выделить здания, обслуживающие сферу потребления, здания учебно-воспитательных организаций, здания, предназначенные для культурно-досуговой деятельности, здания, являющиеся объектами культурного наследия, здания коммерческого назначения, здания для отправления культа и т. д. Развитие современной архитектуры определяется уровнем развития современной науки и техники, уровнем промышленного развития, характеризуется применением инновационных технологий и материалов. Но также верно, что современная архитектура прочно укоренена в традиции, использует модели, которые были выработаны в культуре тысячи лет назад. Современная архитектура объектов религиозного назначения является важной частью всей современной архитектуры. Китай — страна, где сосуществуют различные религии (даосизм, буддизм, христианство, ислам и т. д.), их конфессии, школы мысли, культы и т. д. Буддизм имеет долгую историю и большое количество верующих в Китае, а буддийская архитектура долгое время развивалась в Китае. На примере храмовой архитектуры «Дворца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Ушниша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» в Нанкине, храма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Гоцин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в Шанхае и комплекса «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Путошань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Гуаньинь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Дхарма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Реалм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» в городе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Чжоушань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анализируются черты национальной архитектурной традиции, проявившиеся в современных буддийских храмовых зданиях.</w:t>
      </w:r>
    </w:p>
    <w:p w:rsidR="0020716F" w:rsidRPr="0020716F" w:rsidRDefault="0020716F" w:rsidP="0020716F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b/>
          <w:bCs/>
          <w:color w:val="000000"/>
          <w:sz w:val="20"/>
          <w:szCs w:val="20"/>
        </w:rPr>
        <w:t>Ключевые слова</w:t>
      </w:r>
      <w:r w:rsidRPr="0020716F">
        <w:rPr>
          <w:rFonts w:ascii="PT Astra Serif" w:hAnsi="PT Astra Serif" w:cs="PT Astra Serif"/>
          <w:color w:val="000000"/>
          <w:sz w:val="20"/>
          <w:szCs w:val="20"/>
        </w:rPr>
        <w:t>: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современная буддийская архитектура в Китае, храмовая архитектура, традиция, инновация, современная архитектура</w:t>
      </w:r>
    </w:p>
    <w:p w:rsidR="0020716F" w:rsidRDefault="0020716F"/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</w:pPr>
      <w:r w:rsidRPr="0020716F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 xml:space="preserve">Александр Львович </w:t>
      </w:r>
      <w:proofErr w:type="spellStart"/>
      <w:r w:rsidRPr="0020716F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Капилов</w:t>
      </w:r>
      <w:proofErr w:type="spellEnd"/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кандидат искусствоведения, доцент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ректор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Института современных знаний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имени А. М. Широкова,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Минск, Республика Беларусь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  <w:t>E-mail: zao@isz.minsk.by</w:t>
      </w:r>
    </w:p>
    <w:p w:rsidR="0020716F" w:rsidRPr="0020716F" w:rsidRDefault="0020716F" w:rsidP="0020716F">
      <w:pPr>
        <w:autoSpaceDE w:val="0"/>
        <w:autoSpaceDN w:val="0"/>
        <w:adjustRightInd w:val="0"/>
        <w:spacing w:before="397" w:after="397" w:line="288" w:lineRule="auto"/>
        <w:jc w:val="center"/>
        <w:textAlignment w:val="center"/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</w:pP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t>Роль выпускников российских консерваторий</w:t>
      </w: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  <w:t xml:space="preserve">в музыкальной жизни Беларуси (1880–1917 </w:t>
      </w:r>
      <w:r w:rsidRPr="0020716F">
        <w:rPr>
          <w:rFonts w:ascii="PT Astra Serif" w:hAnsi="PT Astra Serif" w:cs="PT Astra Serif"/>
          <w:b/>
          <w:bCs/>
          <w:color w:val="000000"/>
          <w:sz w:val="24"/>
          <w:szCs w:val="24"/>
        </w:rPr>
        <w:t>гг</w:t>
      </w: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t>.)</w:t>
      </w:r>
    </w:p>
    <w:p w:rsidR="0020716F" w:rsidRPr="0020716F" w:rsidRDefault="0020716F" w:rsidP="0020716F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lastRenderedPageBreak/>
        <w:t>Рассмотрена концертно-исполнительская деятельность ярких выпускников российских консерваторий, внесших вклад в развитие белорусской музыкальной культуры в конце XIX — начале ХХ в. Творческий потенциал исполнителей и певцов подтверждается мнениями и рецензиями современников, высказываемые ими на страницах местной печати, в рекламных объявлениях, афишах конца XIX — начала XX в., выявленных автором в государственных архивах России и Беларуси и вводимых им в научный оборот, в опубликованных воспоминаниях творческих деятелей-соратников. Подчеркивается, что представители российской исполнительской школы создавали своеобразное культурное пространство белорусских городов, формировали культуру восприятия музыки, а также, в свою очередь, выступали организаторами местных музыкальных обществ и образовательных институтов. Отмечено, что творчество выпускников российских консерваторий XIX — начала ХХ в. можно рассматривать как уникальную часть белорусской музыкальной культуры, оно предопределило в целом ее потенциал и последующее развитие.</w:t>
      </w:r>
    </w:p>
    <w:p w:rsidR="0020716F" w:rsidRPr="0020716F" w:rsidRDefault="0020716F" w:rsidP="0020716F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b/>
          <w:bCs/>
          <w:color w:val="000000"/>
          <w:sz w:val="20"/>
          <w:szCs w:val="20"/>
        </w:rPr>
        <w:t>Ключевые слова</w:t>
      </w:r>
      <w:r w:rsidRPr="0020716F">
        <w:rPr>
          <w:rFonts w:ascii="PT Astra Serif" w:hAnsi="PT Astra Serif" w:cs="PT Astra Serif"/>
          <w:color w:val="000000"/>
          <w:sz w:val="20"/>
          <w:szCs w:val="20"/>
        </w:rPr>
        <w:t>: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концертная деятельность, исполнительская деятельность, творческая деятельность, педагогическая деятельность, консерватория, белорусская музыкальная культура, А. Ф.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Боркус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, Ф. Д. Левинсон-Тейтельбаум, И. А.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Генко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, Е. С. Чижевский,</w:t>
      </w:r>
      <w:r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Н. С. Рубинштейн, Н. М.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Муранская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, А. Г.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Жеребцова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, С. И. Мигай</w:t>
      </w:r>
    </w:p>
    <w:p w:rsidR="0020716F" w:rsidRDefault="0020716F"/>
    <w:p w:rsidR="0020716F" w:rsidRDefault="0020716F"/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</w:pPr>
      <w:r w:rsidRPr="0020716F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Александр Петрович Марков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доктор педагогических наук, доктор культурологии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заслуженный деятель науки РФ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профессор кафедры философии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и культурологии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Санкт-Петербургского гуманитарного университета профсоюзов,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Санкт–Петербург, Россия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E–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mail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: markov_2@mail.ru</w:t>
      </w:r>
    </w:p>
    <w:p w:rsidR="0020716F" w:rsidRPr="0020716F" w:rsidRDefault="0020716F" w:rsidP="0020716F">
      <w:pPr>
        <w:autoSpaceDE w:val="0"/>
        <w:autoSpaceDN w:val="0"/>
        <w:adjustRightInd w:val="0"/>
        <w:spacing w:before="397" w:after="397" w:line="288" w:lineRule="auto"/>
        <w:jc w:val="center"/>
        <w:textAlignment w:val="center"/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</w:pP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t>«Управляемая эволюция»</w:t>
      </w: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  <w:t>как глобальный проект</w:t>
      </w: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  <w:t>посткапиталистического будущего:</w:t>
      </w: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  <w:t>замысел, стратегии, результаты</w:t>
      </w: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</w:r>
      <w:r w:rsidRPr="0020716F">
        <w:rPr>
          <w:rFonts w:ascii="PT Astra Serif" w:hAnsi="PT Astra Serif" w:cs="PT Astra Serif"/>
          <w:b/>
          <w:bCs/>
          <w:color w:val="000000"/>
          <w:sz w:val="24"/>
          <w:szCs w:val="24"/>
        </w:rPr>
        <w:t>(часть 1)</w:t>
      </w:r>
    </w:p>
    <w:p w:rsidR="0020716F" w:rsidRPr="0020716F" w:rsidRDefault="0020716F" w:rsidP="0020716F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Автор предлагает цикл из двух статей, посвященных анализу стратегии «Управляемой Эволюции» как сценария грядущего мироустройства, инициированного западной элитой и лидерами транснациональных компаний, поддерживаемого глобальным финансовым капиталом, институтом масс–медиа и цифровыми корпорациями. В данной статье представлен анализ декларируемых задач и подлинного замысла проекта «управляемой эволюции», дана характеристика приоритетов, институтов и технологий его реализации в глобальном масштабе. Идея проекта — утверждение «нового мирового порядка» путем тотального контроля над мировыми ресурсами, духовными факторами эволюции, знанием и структурами его производства, сознанием и поведением людей. А его финальный результат — «депопуляция», то есть принудительное сокращение избыточной массы населения, «лишней» в грядущем мире искусственного интеллекта и цифровой экономики. Приоритетные направления сценария «управляемой эволюции»: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деиндустриализация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мира; дестабилизация ключевых институтов и структур, обеспечивающих воспроизводство и устойчивость социально-культурных систем; «антропологическая регрессия» — целенаправленное снижение ключевых характеристик человека как существа духовного, морально ответственного и интеллектуально вменяемого, в том числе путем деформации традиционных оснований социально-культурной идентичности. Откровенный антихристианский пафос стратегии «управляемой эволюции» превращает данный проект в орудие разрушения опорных культурно-антропологических «столбов» цивилизации Логоса, в источник эволюционной регрессии и деградации, а, в конечном счете — в средство «антропологической эвтаназии» человечества.</w:t>
      </w:r>
    </w:p>
    <w:p w:rsidR="0020716F" w:rsidRPr="0020716F" w:rsidRDefault="0020716F" w:rsidP="0020716F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b/>
          <w:bCs/>
          <w:i/>
          <w:iCs/>
          <w:color w:val="000000"/>
          <w:sz w:val="20"/>
          <w:szCs w:val="20"/>
        </w:rPr>
        <w:lastRenderedPageBreak/>
        <w:t>Ключевые слова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: сценарии будущего, проект «управляемой эволюции», мировая гегемония,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деиндустриализация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мира, «антропологическая регрессия», глобальная сеть,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блогосфера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, неправительственные общественные организации</w:t>
      </w:r>
    </w:p>
    <w:p w:rsidR="0020716F" w:rsidRDefault="0020716F"/>
    <w:p w:rsidR="0020716F" w:rsidRDefault="0020716F"/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</w:pPr>
      <w:r w:rsidRPr="0020716F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Мария Николаевна Митина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аспирант кафедры искусствоведения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Санкт-Петербургская государственная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художественно-промышленная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 xml:space="preserve">академия имени А. Л.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Штиглица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, Санкт-Петербург, Россия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сотрудник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научно-просветительного отдела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Государственный Эрмитаж,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Санкт-Петербург, Россия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color w:val="000000"/>
          <w:sz w:val="20"/>
          <w:szCs w:val="20"/>
          <w:lang w:val="en-US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  <w:t xml:space="preserve">E-mail: mitina.mary@gmail.com </w:t>
      </w:r>
    </w:p>
    <w:p w:rsidR="0020716F" w:rsidRPr="0020716F" w:rsidRDefault="0020716F" w:rsidP="0020716F">
      <w:pPr>
        <w:autoSpaceDE w:val="0"/>
        <w:autoSpaceDN w:val="0"/>
        <w:adjustRightInd w:val="0"/>
        <w:spacing w:before="397" w:after="397" w:line="288" w:lineRule="auto"/>
        <w:jc w:val="center"/>
        <w:textAlignment w:val="center"/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</w:pP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t>Русская глиняная игрушка</w:t>
      </w: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  <w:t>как феномен художественной культуры</w:t>
      </w:r>
    </w:p>
    <w:p w:rsidR="0020716F" w:rsidRPr="0020716F" w:rsidRDefault="0020716F" w:rsidP="0020716F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Русская глиняная игрушка обладает широким спектром смыслов и функций, выходящих далеко за пределы игрового контекста. Глиняные фигурки, созданные в разных центрах народных художественных промыслов, несмотря на стилевые и художественные отличия, имеют ряд универсальных характеристик. В статье рассматриваются черты русской культуры, отраженные в искусстве глиняной мелкой пластики: традиционность, духовность, семейственность. Духовность русской народной глиняной игрушки воплощается через семантику художественных образов, традиционность — через устойчивый набор персонажей, семейственность — через коллективное творческое начало.</w:t>
      </w:r>
    </w:p>
    <w:p w:rsidR="0020716F" w:rsidRPr="0020716F" w:rsidRDefault="0020716F" w:rsidP="0020716F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b/>
          <w:bCs/>
          <w:color w:val="000000"/>
          <w:sz w:val="20"/>
          <w:szCs w:val="20"/>
        </w:rPr>
        <w:t>Ключевые слова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: русская глиняная игрушка, народные художественные промыслы, традиции, русская культура</w:t>
      </w:r>
    </w:p>
    <w:p w:rsidR="0020716F" w:rsidRDefault="0020716F"/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</w:pPr>
      <w:r w:rsidRPr="0020716F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Валентина Михайловна</w:t>
      </w:r>
      <w:r w:rsidRPr="0020716F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br/>
      </w:r>
      <w:proofErr w:type="spellStart"/>
      <w:r w:rsidRPr="0020716F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Москалюк</w:t>
      </w:r>
      <w:proofErr w:type="spellEnd"/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доктор философских наук, профессор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профессор кафедры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театрального искусства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Луганская государственная академия культуры и искусств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 xml:space="preserve">имени Михаила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Матусовского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,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Луганск, Россия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aps/>
          <w:color w:val="000000"/>
          <w:sz w:val="20"/>
          <w:szCs w:val="20"/>
        </w:rPr>
        <w:t>E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-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mail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: msklk76@gmail.com</w:t>
      </w:r>
    </w:p>
    <w:p w:rsidR="0020716F" w:rsidRPr="0020716F" w:rsidRDefault="0020716F" w:rsidP="0020716F">
      <w:pPr>
        <w:autoSpaceDE w:val="0"/>
        <w:autoSpaceDN w:val="0"/>
        <w:adjustRightInd w:val="0"/>
        <w:spacing w:before="397" w:after="397" w:line="288" w:lineRule="auto"/>
        <w:jc w:val="center"/>
        <w:textAlignment w:val="center"/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</w:pP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t>Искусство как объективация</w:t>
      </w: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  <w:t>эстетического опыта культуры</w:t>
      </w:r>
    </w:p>
    <w:p w:rsidR="0020716F" w:rsidRPr="0020716F" w:rsidRDefault="0020716F" w:rsidP="0020716F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b/>
          <w:bCs/>
          <w:color w:val="000000"/>
          <w:sz w:val="20"/>
          <w:szCs w:val="20"/>
        </w:rPr>
        <w:t xml:space="preserve"> 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В статье исследуется сущность искусства как явления культуры, объективирующего и транслирующего эстетический опыт. Автор анализирует различные подходы к пониманию искусства: 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lastRenderedPageBreak/>
        <w:t xml:space="preserve">философские, культурологические, социологические и приходит к заключению о том, что искусство является не просто художественным отражением реальности, а объектом, через который мы можем познакомиться с культурой, ее эстетическим опытом. Анализируя различные факты искусства, автор подчеркивает значимость эстетического опыта в понимании и чувственном восприятии искусства. В статье обосновывается мысль о том, что эстетический опыт — это не только субъективное восприятие, но и объективный процесс, который осуществляется в результате взаимодействия человека с произведением искусства. Автором рассматриваются вопросы о роли искусства в культуре, его влиянии на формирование эстетического опыта человека, подчеркивается важность искусства как средства коммуникации и передачи эстетического опыта между поколениями и культурами. </w:t>
      </w:r>
    </w:p>
    <w:p w:rsidR="0020716F" w:rsidRPr="0020716F" w:rsidRDefault="0020716F" w:rsidP="0020716F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b/>
          <w:bCs/>
          <w:color w:val="000000"/>
          <w:sz w:val="20"/>
          <w:szCs w:val="20"/>
        </w:rPr>
        <w:t>Ключевые слова</w:t>
      </w:r>
      <w:r w:rsidRPr="0020716F">
        <w:rPr>
          <w:rFonts w:ascii="PT Astra Serif" w:hAnsi="PT Astra Serif" w:cs="PT Astra Serif"/>
          <w:color w:val="000000"/>
          <w:sz w:val="20"/>
          <w:szCs w:val="20"/>
        </w:rPr>
        <w:t xml:space="preserve">: 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искусство, культура, эстетический опыт, художник, произведение искусства, художественная коммуникация</w:t>
      </w:r>
    </w:p>
    <w:p w:rsidR="0020716F" w:rsidRDefault="0020716F"/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</w:pPr>
      <w:r w:rsidRPr="0020716F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Владимир Александрович Рубин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доктор культурологии,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кандидат исторических наук,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доцент кафедры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истории государства и права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Оренбургский институт (филиал)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Университета имени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О. Е. 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Кутафина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(МГЮА),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Оренбург, Россия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  <w:t>E-mail: rubin0701@yandex.ru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u w:val="thick" w:color="000000"/>
          <w:lang w:val="en-US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  <w:t>ORCID: 0009-0009-2691-4912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</w:pPr>
      <w:r w:rsidRPr="0020716F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Андрей Сергеевич Рябуха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кандидат исторических наук,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заведующий аспирантурой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Оренбургский федеральный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исследовательский центр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Уральского отделения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Российской академии наук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(ОФИЦ У?? ???), ????????, ??????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E-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mail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: ryabukhi@yandex.ru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рО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РАН), Оренбург, Россия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E-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mail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: ryabukhi@yandex.ru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</w:pPr>
      <w:r w:rsidRPr="0020716F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Екатерина Владимировна</w:t>
      </w:r>
      <w:r w:rsidRPr="0020716F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br/>
        <w:t>Спиридонова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кандидат физико-математических наук, доцент кафедры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прикладной математики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Оренбургский государственный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университет, Оренбург, Россия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E-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mail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: ekvls@mail.ru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ORCID: 0000-0003-0972-2467</w:t>
      </w:r>
    </w:p>
    <w:p w:rsidR="0020716F" w:rsidRPr="0020716F" w:rsidRDefault="0020716F" w:rsidP="0020716F">
      <w:pPr>
        <w:autoSpaceDE w:val="0"/>
        <w:autoSpaceDN w:val="0"/>
        <w:adjustRightInd w:val="0"/>
        <w:spacing w:before="397" w:after="397" w:line="288" w:lineRule="auto"/>
        <w:jc w:val="center"/>
        <w:textAlignment w:val="center"/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</w:pP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t>Правовая и историко-культурная специфика</w:t>
      </w: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  <w:t>государственного учета и охраны ансамбля</w:t>
      </w: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  <w:t>как автономного вида объектов культурного наследия</w:t>
      </w: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</w: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lastRenderedPageBreak/>
        <w:t>народов Российской Федерации на современном этапе</w:t>
      </w:r>
      <w:r w:rsidRPr="0020716F">
        <w:rPr>
          <w:rFonts w:ascii="PT Astra Serif" w:hAnsi="PT Astra Serif" w:cs="PT Astra Serif"/>
          <w:b/>
          <w:bCs/>
          <w:color w:val="000000"/>
          <w:sz w:val="24"/>
          <w:szCs w:val="24"/>
        </w:rPr>
        <w:br/>
        <w:t>(на примере исследования объектов недвижимости</w:t>
      </w:r>
      <w:r w:rsidRPr="0020716F">
        <w:rPr>
          <w:rFonts w:ascii="PT Astra Serif" w:hAnsi="PT Astra Serif" w:cs="PT Astra Serif"/>
          <w:b/>
          <w:bCs/>
          <w:color w:val="000000"/>
          <w:sz w:val="24"/>
          <w:szCs w:val="24"/>
        </w:rPr>
        <w:br/>
        <w:t xml:space="preserve">Оренбургского </w:t>
      </w:r>
      <w:proofErr w:type="spellStart"/>
      <w:r w:rsidRPr="0020716F">
        <w:rPr>
          <w:rFonts w:ascii="PT Astra Serif" w:hAnsi="PT Astra Serif" w:cs="PT Astra Serif"/>
          <w:b/>
          <w:bCs/>
          <w:color w:val="000000"/>
          <w:sz w:val="24"/>
          <w:szCs w:val="24"/>
        </w:rPr>
        <w:t>Неплюевского</w:t>
      </w:r>
      <w:proofErr w:type="spellEnd"/>
      <w:r w:rsidRPr="0020716F">
        <w:rPr>
          <w:rFonts w:ascii="PT Astra Serif" w:hAnsi="PT Astra Serif" w:cs="PT Astra Serif"/>
          <w:b/>
          <w:bCs/>
          <w:color w:val="000000"/>
          <w:sz w:val="24"/>
          <w:szCs w:val="24"/>
        </w:rPr>
        <w:t xml:space="preserve"> кадетского корпуса)</w:t>
      </w:r>
    </w:p>
    <w:p w:rsidR="0020716F" w:rsidRPr="0020716F" w:rsidRDefault="0020716F" w:rsidP="0020716F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В центре внимания авторов архитектурный ансамбль, представляющий собой совокупность объектов культурного наследия, каждый из которых наделен как общими для всего памятника истории и культуры свойствами, так и особенными символическими и материальными характеристиками. Временные трансформации, модификация связующей историко-культурной среды обуславливают разную степень сохранности составляющих ансамбля. В связи с этим при осуществлении государственного учета и охраны ансамблей как разновидности памятников истории и культуры следует принимать во внимание их специфические черты, что требует комплексного подхода к их исследованию. </w:t>
      </w:r>
    </w:p>
    <w:p w:rsidR="0020716F" w:rsidRPr="0020716F" w:rsidRDefault="0020716F" w:rsidP="0020716F">
      <w:pPr>
        <w:autoSpaceDE w:val="0"/>
        <w:autoSpaceDN w:val="0"/>
        <w:adjustRightInd w:val="0"/>
        <w:spacing w:after="0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В научной статье рассматриваются правовые и историко-культурные аспекты государственного учета и охраны городских архитектурных ансамблей в России, имеющих статус объектов культурного наследия. Основой эмпирической базы исследования стало изучение в 2023–2024 гг. сложной градостроительной ситуации вокруг шести объектов недвижимости, составляющих ансамбль выдающегося памятника отечественной архитектуры — Оренбургского (первого)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Неплюевского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кадетского корпуса.</w:t>
      </w:r>
    </w:p>
    <w:p w:rsidR="0020716F" w:rsidRPr="0020716F" w:rsidRDefault="0020716F" w:rsidP="0020716F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Всестороннее исследование архивной, нормативной и технической документации, а также непосредственной градостроительной ситуации в рамках государственной историко-культурной экспертизы позволил выявить круг проблем и сформулировать актуальные предложения, направленные на совершенствование государственной политики в области учета, охраны и сохранения ансамблей как одного из видов объектов культурного наследия.</w:t>
      </w:r>
    </w:p>
    <w:p w:rsidR="0020716F" w:rsidRPr="0020716F" w:rsidRDefault="0020716F" w:rsidP="0020716F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b/>
          <w:bCs/>
          <w:i/>
          <w:iCs/>
          <w:color w:val="000000"/>
          <w:sz w:val="20"/>
          <w:szCs w:val="20"/>
        </w:rPr>
        <w:t>Ключевые слова: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ансамбль, объект культурного наследия, памятник истории и культуры, Оренбургский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Неплюевский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кадетский корпус, история государства и права, военно-мемориальное наследие</w:t>
      </w:r>
    </w:p>
    <w:p w:rsidR="0020716F" w:rsidRDefault="0020716F"/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</w:pPr>
      <w:r w:rsidRPr="0020716F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 xml:space="preserve">Сергей Степанович </w:t>
      </w:r>
      <w:proofErr w:type="spellStart"/>
      <w:r w:rsidRPr="0020716F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Соковиков</w:t>
      </w:r>
      <w:proofErr w:type="spellEnd"/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кандидат педагогических наук, доцент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Челябинский государственный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институт культуры, Челябинск, Россия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E-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mail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: sokovik49@mail.ru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</w:pPr>
      <w:r w:rsidRPr="0020716F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 xml:space="preserve">Владимир Яковлевич </w:t>
      </w:r>
      <w:proofErr w:type="spellStart"/>
      <w:r w:rsidRPr="0020716F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Рушанин</w:t>
      </w:r>
      <w:proofErr w:type="spellEnd"/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доктор исторических наук, профессор,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Челябинский государственный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институт культуры, Челябинск, Россия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E-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mail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: rushanin@chgaki.ru</w:t>
      </w:r>
    </w:p>
    <w:p w:rsidR="0020716F" w:rsidRPr="0020716F" w:rsidRDefault="0020716F" w:rsidP="0020716F">
      <w:pPr>
        <w:autoSpaceDE w:val="0"/>
        <w:autoSpaceDN w:val="0"/>
        <w:adjustRightInd w:val="0"/>
        <w:spacing w:before="397" w:after="397" w:line="288" w:lineRule="auto"/>
        <w:jc w:val="center"/>
        <w:textAlignment w:val="center"/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</w:pP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t>Юродство во Христе и юродствование</w:t>
      </w: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  <w:t>в современном искусстве</w:t>
      </w: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  <w:t>как социокультурные типы поведения</w:t>
      </w:r>
    </w:p>
    <w:p w:rsidR="0020716F" w:rsidRPr="0020716F" w:rsidRDefault="0020716F" w:rsidP="0020716F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На материалах отечественной культуры рассматривается соотношение юродства во Христе и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юродствования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как особого типа поведения в авангардных формах современного искусства. В этой связи ставится задача критического анализа прямого уподобления эпатажных арт-практик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contemporary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art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историческому феномену юродства. Показано, что эти явления имеют сущностные различия в мотивационно-целевых установках, сферах и способах существования, духовно-нравственных ориентациях. Установлено, что определяющим фактором разнородности этих явлений выступает различие социокультурных контекстов их бытования: духовно-религиозной среды юродства и конъюнктурно ориентированного пространства арт-рынка авангардного искусства. Указаны основные причины использования приемов юродства в арт-практиках современных деятелей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contemporary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art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. Уточняется, что независимо от субъективных намерений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актора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, юродствующего в художественном пространстве, 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lastRenderedPageBreak/>
        <w:t xml:space="preserve">механизмы арт-рынка неизбежно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коммодифицируют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его творения, подчиняя их трансляцию в публичную сферу прагматической логике. Доказывается, что различие юродства во Христе и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юродствования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в искусстве требует специфичных подходов к каждому из этих явлений для предотвращения заблуждений и возможности конъюнктурных манипуляций с подменой их сущностных характеристик. Утверждается, что эта проблема особенно важна для русской культуры, для которой явление юродства во Христе особо значимо и представляет образ, сохраняемый в ментальном коде.</w:t>
      </w:r>
    </w:p>
    <w:p w:rsidR="0020716F" w:rsidRPr="0020716F" w:rsidRDefault="0020716F" w:rsidP="0020716F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b/>
          <w:bCs/>
          <w:color w:val="000000"/>
          <w:sz w:val="20"/>
          <w:szCs w:val="20"/>
        </w:rPr>
        <w:t>Ключевые слова</w:t>
      </w:r>
      <w:r w:rsidRPr="0020716F">
        <w:rPr>
          <w:rFonts w:ascii="PT Astra Serif" w:hAnsi="PT Astra Serif" w:cs="PT Astra Serif"/>
          <w:color w:val="000000"/>
          <w:sz w:val="20"/>
          <w:szCs w:val="20"/>
        </w:rPr>
        <w:t xml:space="preserve">: 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юродство, современное искусство,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акционизм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, эпатажное поведение, арт-рынок, русская культура</w:t>
      </w:r>
    </w:p>
    <w:p w:rsidR="0020716F" w:rsidRDefault="0020716F"/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</w:pPr>
      <w:r w:rsidRPr="0020716F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Елена Александровна Уткина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аспирант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Челябинский государственный институт культуры, Челябинск, Россия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  <w:lang w:val="en-US"/>
        </w:rPr>
        <w:t>E-mail: utkina.elena.a@gmail.com</w:t>
      </w:r>
    </w:p>
    <w:p w:rsidR="0020716F" w:rsidRPr="0020716F" w:rsidRDefault="0020716F" w:rsidP="0020716F">
      <w:pPr>
        <w:autoSpaceDE w:val="0"/>
        <w:autoSpaceDN w:val="0"/>
        <w:adjustRightInd w:val="0"/>
        <w:spacing w:before="397" w:after="397" w:line="288" w:lineRule="auto"/>
        <w:jc w:val="center"/>
        <w:textAlignment w:val="center"/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</w:pP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t>Меморативные ландшафты</w:t>
      </w: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  <w:t>как площадки межкультурного диалога</w:t>
      </w:r>
    </w:p>
    <w:p w:rsidR="0020716F" w:rsidRPr="0020716F" w:rsidRDefault="0020716F" w:rsidP="0020716F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Проблема построения эффективных позитивно ориентированных межкультурных, межэтнических, межрелигиозных связей и контактов является одной из наиболее актуальных для современной культуры, в которой остро проявлены конфликтные коммуникации и ценностной дезинтеграции. В статье обзорно представлены примеры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меморативных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ландшафтов, расположенных на территории РФ, однако предметно исследование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меморативного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ландшафта (как пространства межкультурного диалога) репрезентировано через обращение к функционированию государственного музея-заповедника «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Аркаим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». Основное внимание в статье уделяется ритуальным практикам и обрядовым действиям, воспроизводимым посетителями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Аркаима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. Актуализацию ритуальных практик и мифологического (во многом — мистического и эзотерического) сознания в поведенческих сценариях посетителей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меморативного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ландшафта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Аркаим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автор исследует с опорой на результаты неформализованного наблюдения, в ходе которого фиксировались: место и виды осуществляемых действий, особенности внешнего вида и используемой атрибутики, единичный или коллективный характер ритуальных практик, социально-демографические характеристики участников. На основе классификации «обрядов перехода», разработанной исследователем А. Ван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Геннепом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, делаются выводы о специфике ритуально-обрядовых действий посетителей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Аркаима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. В статье отмечается разнообразие ритуальных действий, их эклектичный характер, идентификация с различными этническими, религиозными, демографическими и иными основаниями. Делается вывод о том, что, несмотря на существующие и наглядно позиционируемые межкультурные отличия,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меморативные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ландшафты как «места памяти» обеспечивают гармоничную основу устойчивого межкультурного диалога.</w:t>
      </w:r>
    </w:p>
    <w:p w:rsidR="0020716F" w:rsidRPr="0020716F" w:rsidRDefault="0020716F" w:rsidP="0020716F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b/>
          <w:bCs/>
          <w:color w:val="000000"/>
          <w:sz w:val="20"/>
          <w:szCs w:val="20"/>
        </w:rPr>
        <w:t>Ключевые слова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: межкультурные коммуникации, диалог культур, традиция, ритуально-обрядовые практики,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меморативный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ландшафт,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Аркаим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, культурная идентичность</w:t>
      </w:r>
    </w:p>
    <w:p w:rsidR="0020716F" w:rsidRDefault="0020716F"/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</w:pPr>
      <w:r w:rsidRPr="0020716F">
        <w:rPr>
          <w:rFonts w:ascii="PT Astra Serif" w:hAnsi="PT Astra Serif" w:cs="PT Astra Serif"/>
          <w:b/>
          <w:bCs/>
          <w:i/>
          <w:iCs/>
          <w:color w:val="000000"/>
          <w:sz w:val="24"/>
          <w:szCs w:val="24"/>
        </w:rPr>
        <w:t>Владимир Александрович Рубин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доктор культурологии,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кандидат исторических наук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доцент кафедры истории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государства и права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Оренбургский институт (филиал)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 xml:space="preserve">Университета имени О. Е.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Кутафина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br/>
        <w:t>(МГЮА), Оренбург, Россия</w:t>
      </w:r>
    </w:p>
    <w:p w:rsidR="0020716F" w:rsidRPr="0020716F" w:rsidRDefault="0020716F" w:rsidP="0020716F">
      <w:pPr>
        <w:autoSpaceDE w:val="0"/>
        <w:autoSpaceDN w:val="0"/>
        <w:adjustRightInd w:val="0"/>
        <w:spacing w:after="113" w:line="288" w:lineRule="auto"/>
        <w:ind w:left="5669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E-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mail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: rubin0701@yandex.ru</w:t>
      </w:r>
    </w:p>
    <w:p w:rsidR="0020716F" w:rsidRPr="0020716F" w:rsidRDefault="0020716F" w:rsidP="0020716F">
      <w:pPr>
        <w:autoSpaceDE w:val="0"/>
        <w:autoSpaceDN w:val="0"/>
        <w:adjustRightInd w:val="0"/>
        <w:spacing w:before="397" w:after="397" w:line="288" w:lineRule="auto"/>
        <w:jc w:val="center"/>
        <w:textAlignment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lastRenderedPageBreak/>
        <w:t>Советская скульптура как объект культурного наследия</w:t>
      </w: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  <w:t>и инструментальная единица</w:t>
      </w: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  <w:t>современной российской культурной политики</w:t>
      </w:r>
      <w:r w:rsidRPr="0020716F">
        <w:rPr>
          <w:rFonts w:ascii="PT Astra Serif" w:hAnsi="PT Astra Serif" w:cs="PT Astra Serif"/>
          <w:b/>
          <w:bCs/>
          <w:caps/>
          <w:color w:val="000000"/>
          <w:sz w:val="24"/>
          <w:szCs w:val="24"/>
        </w:rPr>
        <w:br/>
      </w:r>
      <w:r w:rsidRPr="0020716F">
        <w:rPr>
          <w:rFonts w:ascii="PT Astra Serif" w:hAnsi="PT Astra Serif" w:cs="PT Astra Serif"/>
          <w:b/>
          <w:bCs/>
          <w:color w:val="000000"/>
          <w:sz w:val="24"/>
          <w:szCs w:val="24"/>
        </w:rPr>
        <w:t>(</w:t>
      </w:r>
      <w:proofErr w:type="spellStart"/>
      <w:r w:rsidRPr="0020716F">
        <w:rPr>
          <w:rFonts w:ascii="PT Astra Serif" w:hAnsi="PT Astra Serif" w:cs="PT Astra Serif"/>
          <w:b/>
          <w:bCs/>
          <w:color w:val="000000"/>
          <w:sz w:val="24"/>
          <w:szCs w:val="24"/>
        </w:rPr>
        <w:t>Гейль</w:t>
      </w:r>
      <w:proofErr w:type="spellEnd"/>
      <w:r w:rsidRPr="0020716F">
        <w:rPr>
          <w:rFonts w:ascii="PT Astra Serif" w:hAnsi="PT Astra Serif" w:cs="PT Astra Serif"/>
          <w:b/>
          <w:bCs/>
          <w:color w:val="000000"/>
          <w:sz w:val="24"/>
          <w:szCs w:val="24"/>
        </w:rPr>
        <w:t xml:space="preserve"> В. В. Тиражированная монументальная скульптура</w:t>
      </w:r>
      <w:r w:rsidRPr="0020716F">
        <w:rPr>
          <w:rFonts w:ascii="PT Astra Serif" w:hAnsi="PT Astra Serif" w:cs="PT Astra Serif"/>
          <w:b/>
          <w:bCs/>
          <w:color w:val="000000"/>
          <w:sz w:val="24"/>
          <w:szCs w:val="24"/>
        </w:rPr>
        <w:br/>
        <w:t>советского периода: на материалах города Челябинска :</w:t>
      </w:r>
      <w:r w:rsidRPr="0020716F">
        <w:rPr>
          <w:rFonts w:ascii="PT Astra Serif" w:hAnsi="PT Astra Serif" w:cs="PT Astra Serif"/>
          <w:b/>
          <w:bCs/>
          <w:color w:val="000000"/>
          <w:sz w:val="24"/>
          <w:szCs w:val="24"/>
        </w:rPr>
        <w:br/>
        <w:t xml:space="preserve">монография. 2-е изд., </w:t>
      </w:r>
      <w:proofErr w:type="spellStart"/>
      <w:r w:rsidRPr="0020716F">
        <w:rPr>
          <w:rFonts w:ascii="PT Astra Serif" w:hAnsi="PT Astra Serif" w:cs="PT Astra Serif"/>
          <w:b/>
          <w:bCs/>
          <w:color w:val="000000"/>
          <w:sz w:val="24"/>
          <w:szCs w:val="24"/>
        </w:rPr>
        <w:t>испр</w:t>
      </w:r>
      <w:proofErr w:type="spellEnd"/>
      <w:r w:rsidRPr="0020716F">
        <w:rPr>
          <w:rFonts w:ascii="PT Astra Serif" w:hAnsi="PT Astra Serif" w:cs="PT Astra Serif"/>
          <w:b/>
          <w:bCs/>
          <w:color w:val="000000"/>
          <w:sz w:val="24"/>
          <w:szCs w:val="24"/>
        </w:rPr>
        <w:t>. и доп.</w:t>
      </w:r>
      <w:r w:rsidRPr="0020716F">
        <w:rPr>
          <w:rFonts w:ascii="PT Astra Serif" w:hAnsi="PT Astra Serif" w:cs="PT Astra Serif"/>
          <w:b/>
          <w:bCs/>
          <w:color w:val="000000"/>
          <w:sz w:val="24"/>
          <w:szCs w:val="24"/>
        </w:rPr>
        <w:br/>
        <w:t xml:space="preserve">Челябинск : </w:t>
      </w:r>
      <w:proofErr w:type="spellStart"/>
      <w:r w:rsidRPr="0020716F">
        <w:rPr>
          <w:rFonts w:ascii="PT Astra Serif" w:hAnsi="PT Astra Serif" w:cs="PT Astra Serif"/>
          <w:b/>
          <w:bCs/>
          <w:color w:val="000000"/>
          <w:sz w:val="24"/>
          <w:szCs w:val="24"/>
        </w:rPr>
        <w:t>Челяб</w:t>
      </w:r>
      <w:proofErr w:type="spellEnd"/>
      <w:r w:rsidRPr="0020716F">
        <w:rPr>
          <w:rFonts w:ascii="PT Astra Serif" w:hAnsi="PT Astra Serif" w:cs="PT Astra Serif"/>
          <w:b/>
          <w:bCs/>
          <w:color w:val="000000"/>
          <w:sz w:val="24"/>
          <w:szCs w:val="24"/>
        </w:rPr>
        <w:t>. гос. ин-т культуры, 2024. 163 с.)</w:t>
      </w:r>
    </w:p>
    <w:p w:rsidR="0020716F" w:rsidRPr="0020716F" w:rsidRDefault="0020716F" w:rsidP="0020716F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Рецензия посвящена анализу второго издания монографии В. В. </w:t>
      </w:r>
      <w:proofErr w:type="spellStart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>Гейль</w:t>
      </w:r>
      <w:proofErr w:type="spellEnd"/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«Тиражированная монументальная скульптура советского периода: на материалах города Челябинска», вышедшего в издательстве Челябинского государственного института культуры в 2024 году, закладывающий фундамент в решение проблем формирования адекватной актуальной научной методологии, обосновывающей историко-культурную ценность советской тиражированной скульптуры в современном обществе.</w:t>
      </w:r>
    </w:p>
    <w:p w:rsidR="0020716F" w:rsidRPr="0020716F" w:rsidRDefault="0020716F" w:rsidP="0020716F">
      <w:pPr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textAlignment w:val="center"/>
        <w:rPr>
          <w:rFonts w:ascii="PT Astra Serif" w:hAnsi="PT Astra Serif" w:cs="PT Astra Serif"/>
          <w:i/>
          <w:iCs/>
          <w:color w:val="000000"/>
          <w:sz w:val="20"/>
          <w:szCs w:val="20"/>
        </w:rPr>
      </w:pPr>
      <w:r w:rsidRPr="0020716F">
        <w:rPr>
          <w:rFonts w:ascii="PT Astra Serif" w:hAnsi="PT Astra Serif" w:cs="PT Astra Serif"/>
          <w:b/>
          <w:bCs/>
          <w:color w:val="000000"/>
          <w:sz w:val="20"/>
          <w:szCs w:val="20"/>
        </w:rPr>
        <w:t>Ключевые слова</w:t>
      </w:r>
      <w:r w:rsidRPr="0020716F">
        <w:rPr>
          <w:rFonts w:ascii="PT Astra Serif" w:hAnsi="PT Astra Serif" w:cs="PT Astra Serif"/>
          <w:color w:val="000000"/>
          <w:sz w:val="20"/>
          <w:szCs w:val="20"/>
        </w:rPr>
        <w:t>:</w:t>
      </w:r>
      <w:r w:rsidRPr="0020716F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 тиражированная монументальная скульптура, советский период, Челябинск, объект культурного наследия, памятник истории и культуры, материальное культурное наследие, мемориальное сооружение</w:t>
      </w:r>
    </w:p>
    <w:p w:rsidR="0020716F" w:rsidRDefault="0020716F">
      <w:bookmarkStart w:id="0" w:name="_GoBack"/>
      <w:bookmarkEnd w:id="0"/>
    </w:p>
    <w:sectPr w:rsidR="0020716F" w:rsidSect="00F76EAD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A9"/>
    <w:rsid w:val="0020716F"/>
    <w:rsid w:val="004B4096"/>
    <w:rsid w:val="005824D3"/>
    <w:rsid w:val="0086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3E12"/>
  <w15:chartTrackingRefBased/>
  <w15:docId w15:val="{F77D648F-79DA-4CDC-95D6-E27B0F9A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тор"/>
    <w:basedOn w:val="a"/>
    <w:uiPriority w:val="99"/>
    <w:rsid w:val="0020716F"/>
    <w:pPr>
      <w:autoSpaceDE w:val="0"/>
      <w:autoSpaceDN w:val="0"/>
      <w:adjustRightInd w:val="0"/>
      <w:spacing w:after="113" w:line="288" w:lineRule="auto"/>
      <w:ind w:left="5669"/>
      <w:textAlignment w:val="center"/>
    </w:pPr>
    <w:rPr>
      <w:rFonts w:ascii="PT Astra Serif" w:hAnsi="PT Astra Serif" w:cs="PT Astra Serif"/>
      <w:b/>
      <w:bCs/>
      <w:i/>
      <w:iCs/>
      <w:color w:val="000000"/>
      <w:sz w:val="24"/>
      <w:szCs w:val="24"/>
    </w:rPr>
  </w:style>
  <w:style w:type="paragraph" w:customStyle="1" w:styleId="a4">
    <w:name w:val="Об авторе"/>
    <w:basedOn w:val="a"/>
    <w:uiPriority w:val="99"/>
    <w:rsid w:val="0020716F"/>
    <w:pPr>
      <w:autoSpaceDE w:val="0"/>
      <w:autoSpaceDN w:val="0"/>
      <w:adjustRightInd w:val="0"/>
      <w:spacing w:after="113" w:line="288" w:lineRule="auto"/>
      <w:ind w:left="5669"/>
      <w:textAlignment w:val="center"/>
    </w:pPr>
    <w:rPr>
      <w:rFonts w:ascii="PT Astra Serif" w:hAnsi="PT Astra Serif" w:cs="PT Astra Serif"/>
      <w:i/>
      <w:iCs/>
      <w:color w:val="000000"/>
      <w:sz w:val="20"/>
      <w:szCs w:val="20"/>
    </w:rPr>
  </w:style>
  <w:style w:type="paragraph" w:styleId="a5">
    <w:name w:val="Title"/>
    <w:basedOn w:val="a"/>
    <w:link w:val="a6"/>
    <w:uiPriority w:val="99"/>
    <w:qFormat/>
    <w:rsid w:val="0020716F"/>
    <w:pPr>
      <w:autoSpaceDE w:val="0"/>
      <w:autoSpaceDN w:val="0"/>
      <w:adjustRightInd w:val="0"/>
      <w:spacing w:before="397" w:after="397" w:line="288" w:lineRule="auto"/>
      <w:jc w:val="center"/>
      <w:textAlignment w:val="center"/>
    </w:pPr>
    <w:rPr>
      <w:rFonts w:ascii="PT Astra Serif" w:hAnsi="PT Astra Serif" w:cs="PT Astra Serif"/>
      <w:b/>
      <w:bCs/>
      <w:caps/>
      <w:color w:val="000000"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20716F"/>
    <w:rPr>
      <w:rFonts w:ascii="PT Astra Serif" w:hAnsi="PT Astra Serif" w:cs="PT Astra Serif"/>
      <w:b/>
      <w:bCs/>
      <w:caps/>
      <w:color w:val="000000"/>
      <w:sz w:val="24"/>
      <w:szCs w:val="24"/>
    </w:rPr>
  </w:style>
  <w:style w:type="paragraph" w:customStyle="1" w:styleId="a7">
    <w:name w:val="Аннотация"/>
    <w:basedOn w:val="a8"/>
    <w:uiPriority w:val="99"/>
    <w:rsid w:val="0020716F"/>
    <w:pPr>
      <w:autoSpaceDE w:val="0"/>
      <w:autoSpaceDN w:val="0"/>
      <w:adjustRightInd w:val="0"/>
      <w:spacing w:after="227" w:line="240" w:lineRule="atLeast"/>
      <w:ind w:left="567" w:right="567" w:firstLine="567"/>
      <w:jc w:val="both"/>
      <w:textAlignment w:val="center"/>
    </w:pPr>
    <w:rPr>
      <w:rFonts w:ascii="PT Astra Serif" w:hAnsi="PT Astra Serif" w:cs="PT Astra Serif"/>
      <w:i/>
      <w:iCs/>
      <w:color w:val="000000"/>
      <w:sz w:val="20"/>
      <w:szCs w:val="20"/>
    </w:rPr>
  </w:style>
  <w:style w:type="paragraph" w:styleId="a8">
    <w:name w:val="Plain Text"/>
    <w:basedOn w:val="a"/>
    <w:link w:val="a9"/>
    <w:uiPriority w:val="99"/>
    <w:semiHidden/>
    <w:unhideWhenUsed/>
    <w:rsid w:val="002071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20716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3421</Words>
  <Characters>19505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Меньшенина Елена Сергеевна</dc:creator>
  <cp:keywords/>
  <dc:description/>
  <cp:lastModifiedBy>Меньшенина Елена Сергеевна</cp:lastModifiedBy>
  <cp:revision>2</cp:revision>
  <dcterms:created xsi:type="dcterms:W3CDTF">2024-12-23T05:21:00Z</dcterms:created>
  <dcterms:modified xsi:type="dcterms:W3CDTF">2024-12-23T05:33:00Z</dcterms:modified>
</cp:coreProperties>
</file>