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81" w:rsidRDefault="00BD4381" w:rsidP="00BD4381">
      <w:pPr>
        <w:pStyle w:val="a3"/>
      </w:pPr>
      <w:r>
        <w:t>Зайкова Ольга Николаевна</w:t>
      </w:r>
    </w:p>
    <w:p w:rsidR="00BD4381" w:rsidRDefault="00BD4381" w:rsidP="00BD4381">
      <w:pPr>
        <w:pStyle w:val="a4"/>
      </w:pPr>
      <w:r>
        <w:t>кандидат культурологии</w:t>
      </w:r>
    </w:p>
    <w:p w:rsidR="00BD4381" w:rsidRDefault="00BD4381" w:rsidP="00BD4381">
      <w:pPr>
        <w:pStyle w:val="a4"/>
      </w:pPr>
      <w:r>
        <w:t>Челябинский государственный</w:t>
      </w:r>
      <w:r>
        <w:br/>
        <w:t>институт культуры, Челябинск, Россия</w:t>
      </w:r>
    </w:p>
    <w:p w:rsidR="00BD4381" w:rsidRDefault="00BD4381" w:rsidP="00BD4381">
      <w:pPr>
        <w:pStyle w:val="a4"/>
      </w:pPr>
      <w:r>
        <w:t>E-</w:t>
      </w:r>
      <w:proofErr w:type="spellStart"/>
      <w:r>
        <w:t>mail</w:t>
      </w:r>
      <w:proofErr w:type="spellEnd"/>
      <w:r>
        <w:t>: zaikova74@mail.ru</w:t>
      </w:r>
    </w:p>
    <w:p w:rsidR="00BD4381" w:rsidRDefault="00BD4381" w:rsidP="00BD4381">
      <w:pPr>
        <w:pStyle w:val="a5"/>
      </w:pPr>
      <w:r>
        <w:t>Роль библиотеки в создании</w:t>
      </w:r>
      <w:r>
        <w:br/>
        <w:t>инклюзивных публичных пространств</w:t>
      </w:r>
      <w:r>
        <w:br/>
        <w:t>в городской среде</w:t>
      </w:r>
    </w:p>
    <w:p w:rsidR="00BD4381" w:rsidRDefault="00BD4381" w:rsidP="00BD4381">
      <w:pPr>
        <w:pStyle w:val="a7"/>
      </w:pPr>
      <w:r>
        <w:t xml:space="preserve">Вхождение общества в инклюзивную эпоху актуализирует принципы гуманизма и толерантности, способствует формированию культуры соучастия и стимулированию творческого начала, помогающих социализации, адаптации и самореализации не только людей с ограниченными возможностями, но и всех членов общества. Более того, люди с ограниченными возможностями здоровья наравне с остальными гражданами общества имеют право на свободный выбор во всех областях жизни. Библиотека позиционирует себя не только как место организации и проведения специфических социокультурных событий для инвалидов и </w:t>
      </w:r>
      <w:proofErr w:type="spellStart"/>
      <w:r>
        <w:t>нормотипичных</w:t>
      </w:r>
      <w:proofErr w:type="spellEnd"/>
      <w:r>
        <w:t xml:space="preserve"> людей, но и как инклюзивный центр жизни социума. Это предполагает внедрение инновационных форм обслуживания, новых форматов деятельности, развитие культурного пространства города в широком смысле — как места жительства, как важной части информационной инфраструктуры общества — локуса инклюзивного пространства. В статье определены тренды развития городской среды: повышение уровня комфортности, формирование доступной среды, развитие инклюзивной культуры — создание инклюзивных пространств в городской среде. Отмечается, что особый вклад в ее развитие вносят именно библиотеки. Рассматриваются перспективные креативные инклюзивные форматы: инклюзивные летние открытые площадки с максимальным спектром услуг библиотеки, культурно-просветительские программы, сенсорные публичные оазисы, скверы и пространства, экологические зоны, достаточно заметным стало обращение к практике использования паблик-арта, а именно тактильной уличной графики. Это значит, что важным вектором деятельности библиотек становится активное участие в создании локусов публичных пространств, включенных в контексты инклюзивных ситуаций.</w:t>
      </w:r>
    </w:p>
    <w:p w:rsidR="00BD4381" w:rsidRDefault="00BD4381" w:rsidP="00BD4381">
      <w:pPr>
        <w:pStyle w:val="a7"/>
      </w:pPr>
      <w:r>
        <w:rPr>
          <w:b/>
          <w:bCs/>
          <w:i w:val="0"/>
          <w:iCs w:val="0"/>
        </w:rPr>
        <w:t xml:space="preserve">Ключевые слова: </w:t>
      </w:r>
      <w:r>
        <w:t xml:space="preserve">городская среда, инклюзивная культура, культурное пространство города, общественные публичные пространства, инклюзивные летние библиотечные площадки, сенсорные сады и экологически тропы, инклюзивные арт-объекты, брайль-арт-граффити, локусы инклюзивных пространств, социокультурный дизайн, паблик арт, </w:t>
      </w:r>
      <w:proofErr w:type="spellStart"/>
      <w:r>
        <w:t>art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interest</w:t>
      </w:r>
      <w:proofErr w:type="spellEnd"/>
    </w:p>
    <w:p w:rsidR="00BD4381" w:rsidRDefault="00BD4381" w:rsidP="00BD4381">
      <w:pPr>
        <w:pStyle w:val="a7"/>
      </w:pPr>
      <w:r>
        <w:rPr>
          <w:b/>
          <w:bCs/>
          <w:i w:val="0"/>
          <w:iCs w:val="0"/>
        </w:rPr>
        <w:t>Для цитирования</w:t>
      </w:r>
      <w:r>
        <w:rPr>
          <w:i w:val="0"/>
          <w:iCs w:val="0"/>
        </w:rPr>
        <w:t>:</w:t>
      </w:r>
      <w:r>
        <w:t xml:space="preserve"> Зайкова, О. Н. Роль библиотеки в создании инклюзивных публичных пространств в городской среде / О. Н. Зайкова // Вестник культуры и искусств. — 2025. —</w:t>
      </w:r>
      <w:r>
        <w:br/>
        <w:t>№ 1 (81). — С. 7–21.</w:t>
      </w:r>
    </w:p>
    <w:p w:rsidR="004B4096" w:rsidRDefault="004B4096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proofErr w:type="spellStart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Белохвостова</w:t>
      </w:r>
      <w:proofErr w:type="spellEnd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 Мария Евгеньевна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Институт современного искусства, Москва,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преподаватель кафедры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музыкального искусства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факультета культуры и искусств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Омский государственный университет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имени Ф. М. Достоевского, Омск,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color w:val="00000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aida-14m@mail.ru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Музыкальная культура Омска в контексте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отечественных культурно-философских исследований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>В статье описывается история изучения музыкальной культуры как предмета культурно-философского анализа. Рассмотрена эволюция философско-культурологической мысли о музыке через призму исторических событий, начиная с XVII в. и заканчивая современными исследованиями, обозначены центральные точки в динамике истории изучения музыкальной культуры. Прослежены общие тенденции, в русле которых развивалась отечественная философско-культурологическая мысль о музыке. Проведен обзор работ, в которых исследуется музыкальная культура Омска как неотъемлемая часть культурного облика города. Определены направления, по которым имеются наработки в изучении музыкальной культуры Омска. Автор подчеркивает необходимость дальнейшего изучения философских и идеологических аспектов музыкальной культуры региона, что позволит углубить понимание ее роли в культурной жизни России.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Ключевые слова: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музыка, музыкальная культура, история изучения музыкальной культуры, философия музыки, региональная культура, Омск, Тара, музыкальная культура, фольклор, музыкальное образование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Белохвостова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М. Е. Музыкальная культура Омска в контексте отечественных культурно-философских исследований / М. Е. 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Белохвостова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// Вестник культуры и искусств. — 2025. — № 1 (81). — С. 23–30.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Борзова Екатерина Викторовна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хранитель музейных предметов,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содержащих драгоценные металлы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камни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ГМЗ «Царское Село»,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Санкт-Петербург,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art.press@bk.ru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Тенденции развития российской ювелирной отрасли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в начале XX века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статье рассматриваются изменения, произошедшие в </w:t>
      </w:r>
      <w:proofErr w:type="gram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золото-серебряной</w:t>
      </w:r>
      <w:proofErr w:type="gram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отрасли России на рубеже XIX–ХХ вв. Проанализированы новые юридические нормы (Пробирный устав, правила клеймения), регламентирующие оборот драгоценных металлов: как в части работы иностранных фирм, так и отечественных фабрик. Продукция российских ювелиров рассмотрена в контексте художественной трансформации от историзма к модерну, что позволяет рассматривать ее не обособлено, а как часть общемировой культуры.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ювелирное искусство, столовое серебро, торгово-промышленные заведения, пробирный устав, русский стиль, модерн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Борзова, Е. В. Тенденции развития российской ювелирной отрасли в начале XX века / Е. В. Борзова // Вестник культуры и </w:t>
      </w:r>
      <w:r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искусств. — 2025. — № 1 (81). —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С. 31–40.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Бутко Светлана Николаевна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соискатель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кафедры философии и культурологии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Челябинский государственный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институт культуры,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Челябинск,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преподаватель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Детская школа искусств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Челябинского государственного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>института культуры,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Челябинск,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svetlana-butko16@yandex.ru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Отражение социокультурных состояний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в инструментальном исполнительстве: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обзор актуальных теоретических подходов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Тема звука как единства материального и идеального, природа звука, расширение возможностей музыкального звука средствами инструментального исполнительства, необходимость передачи художественных образов через «очеловеченный» музыкальный звук, который начинает осмысливаться с позиций определенных социокультурных и психических состояний, актуальны в современной научной мысли. В статье дается обзор актуальных теоретических подходов по теме, таких как содержательный, хронологический, духовно-содержательный, субъект-объектный подходы. Изучение музыкального звука, обширного разнообразия музыкального инструментария в русле обозначенных подходов раскрывает разные степени общности. Обзор актуальных подходов выстроен от прикладных форм музыкального искусства к более общим, философским обобщениям. Ключевые тенденции инструментального искусства рассматриваются в социокультурном разрезе, инструментальное исполнительство осмысливается как способ взаимодействия человека с миром.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социокультурные состояния, инструментальное исполнительство; звук и звуковое пространство, инструментальные тенденции,</w:t>
      </w:r>
      <w:r w:rsidRPr="00BD4381">
        <w:rPr>
          <w:rFonts w:ascii="PT Astra Serif" w:hAnsi="PT Astra Serif" w:cs="PT Astra Serif"/>
          <w:b/>
          <w:bCs/>
          <w:i/>
          <w:i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концерт, исполнительское искусство,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sound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studies</w:t>
      </w:r>
      <w:proofErr w:type="spellEnd"/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Бутко, С. Н. Отражение социокультурных состояний в инструментальном исполнительстве: обзор актуальных теоретических подходов / С. Н. Бутко // Вестник культуры и искусств. — 2025. — № 1 (81). — С. 41–50.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proofErr w:type="spellStart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Ионесов</w:t>
      </w:r>
      <w:proofErr w:type="spellEnd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 Владимир Иванович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культурологии,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кандидат исторических наук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профессор кафедры культурологии,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музеологии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и искусствоведения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Самарский государственный институт культуры, Самара,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: acdis@mail.ru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Веществование как исток: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некоторые культурологические прояснения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Настоящая статья предлагает рассмотрение вещи в качестве исходного опорного пункта в становлении культуры и в контексте воспроизводства предметного мира человека. Образцы материальной культуры раскрывают свои социальные значения и предметные связи в форме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веществования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. Новая информационная среда приводит к смене эпохальных парадигм — перекодированию эстетических, смысловых и ценностных значений материальных объектов, смещению социальных и предметных артикуляций культуры. Очевидно, что диалог людей и вещей сопровождается не только сдвигами и потрясениями, но и прокладывает путь к их взаимной коммуникативной вовлеченности на основе предметно-антропоцентрического симбиоза. Здесь многое зависит от того, сумеет ли мы понять, что вещи есть не только продукт, который человек создает, но и объект, способный овладевать и управлять мыслями и поведением людей, подчинять их себе. Различные аспекты воздействия данного процесса на культуру и пытается зафиксировать и осмыслить автор.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веществование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предметный мир, вещь, человек, культура, наследие, трансформация, коммуникация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lastRenderedPageBreak/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Ионесов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В. И.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Веществование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как исток: некоторые культурологические прояснения / В. И.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Ионесов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// Вестник культуры и искусств. — 2025. — № 1 (81). — С. 51–60.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Малышева Диана Алексеевна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 кафедры философии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культурологии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Челябинский государственный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институт культуры, Челябинск,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diana-m@mail.ru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Праздник в проекциях культуры xxi века: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актуальные эффекты и трансформации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Статья посвящена осмыслению актуальных трансформаций массового праздника под влиянием социокультурных процессов современности (конца ХХ — начала XXI века). Автор подчеркивает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темпоральную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обусловленность функционирования праздничной культуры, ее зависимость от актуальных трендов, к числу которых, прежде всего, относит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цифровизацию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реальности. В статье систематизируются эффекты развития профессиональной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ивент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-индустрии и изменение творческих практик создания праздничных форм культуры в контексте развития цифровых технологий. Приводятся примеры креативных решений цифрового сопровождения праздничных событий: использование VR-технологий,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видеогидов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с 3D-изображениями, онлайн-видео, возможностей искусственного интеллекта и другие. Ставятся проблемы доминирования технологий над транслируемыми смыслами и ценностями; снижения воспитательного воздействия на аудиторию, смещения границ праздничного и повседневного. Акцентируется внимание на восполнении дефицита живого праздничного начала в современной культуре. Делается вывод о необходимости актуальной социокультурной диагностики, обеспечивающей осмысление праздника в его эволюционном развитии и фиксации текущего момента.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праздник,</w:t>
      </w: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трансформации праздника, современная культура,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цифровизация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технологизация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культуры, социокультурные эффекты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Малышева, Д. А. Праздник в проекциях культуры XXI века: актуальные эффекты и трансформации / Д. А. Малышева // Вестник культуры и искусств. — 2025. — № 1 (81). — С. 61–67.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Марков Александр Петрович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педагогических наук,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доктор культурологии,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Заслуженный деятель науки РФ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профессор кафедры философии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культурологии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Санкт-Петербургский гуманитарный университет профсоюзов,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Санкт-Петербург,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markov_2@mail.ru.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«Управляемая эволюция» как глобальный проект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посткапиталистического будущего: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lastRenderedPageBreak/>
        <w:t>замысел, стратегии, результаты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</w:r>
      <w:r w:rsidRPr="00BD4381">
        <w:rPr>
          <w:rFonts w:ascii="PT Astra Serif" w:hAnsi="PT Astra Serif" w:cs="PT Astra Serif"/>
          <w:b/>
          <w:bCs/>
          <w:color w:val="000000"/>
          <w:sz w:val="24"/>
          <w:szCs w:val="24"/>
        </w:rPr>
        <w:t>(часть 2)</w:t>
      </w:r>
      <w:r w:rsidRPr="00BD4381">
        <w:rPr>
          <w:rFonts w:ascii="PT Astra Serif" w:hAnsi="PT Astra Serif" w:cs="PT Astra Serif"/>
          <w:b/>
          <w:bCs/>
          <w:color w:val="000000"/>
          <w:sz w:val="24"/>
          <w:szCs w:val="24"/>
          <w:vertAlign w:val="superscript"/>
        </w:rPr>
        <w:footnoteReference w:id="1"/>
      </w:r>
    </w:p>
    <w:p w:rsidR="00BD4381" w:rsidRPr="00BD4381" w:rsidRDefault="00BD4381" w:rsidP="00BD4381">
      <w:pPr>
        <w:autoSpaceDE w:val="0"/>
        <w:autoSpaceDN w:val="0"/>
        <w:adjustRightInd w:val="0"/>
        <w:spacing w:after="0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В второй части статьи</w:t>
      </w:r>
      <w:r w:rsidRPr="00BD4381">
        <w:rPr>
          <w:rFonts w:ascii="PT Astra Serif" w:hAnsi="PT Astra Serif" w:cs="PT Astra Serif"/>
          <w:b/>
          <w:bCs/>
          <w:i/>
          <w:i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показан антисистемный характер транснационального консорциума «творцов светлого будущего», который для подготовки человечества к «антропологическому суициду» использует в качестве «заложников» развитые государства мира. Базовым источником ресурсов, необходимых для реализации проекта, являются США как самая мощная в экономическом, технологическом и военном отношении государственная система, а ведущие страны Запада безответственно (или вынужденно) приняли статус исполнителей самоубийственного для европейской цивилизации сценария. Значимым элементом идеологии и практики транснациональных «антисистем» является концепция управляемого хаоса, жертвой которой стал и «мировой гегемон», демонстрирующий институциональный распад и моральное гниение. Транснациональные корпорации, консолидированные принципами «антисистемы», пробивают в теле культуре «черные дыры», в которые проваливается «классическая» антропология, сформировавшаяся в недрах мировых религий и воплотившаяся в великих творениях цивилизаций Запада и Востока. Ключевые институты «антропологической регрессии»: империя масс-медиа и ее важнейшая составляющая — социальные сети; общественные организации и движения, выступающие агентом влияния на ценности и нормы молодежи; современное искусство, исповедующее принципы постмодернистской эстетики. Объектом атак агентов «управляемой эволюции» является образование как важнейший институт обработки сознания молодежи, «поле битвы» за умы будущих поколений.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В сегодняшней ситуации выработка мер противодействия деструктивным инициативам «управляемой эволюции» обретает статус задачи чрезвычайной актуальности. Россия, пережившая уроки идеологии и политики «управляемого хаоса» 1990-х годов, может и должна представить альтернативный «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посткапиталистическому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сценарию» полюс ценностей и смыслов, привлекательный для народов и государств, стремящихся сохранить свою духовную самобытность и отстоять цивилизационную независимость. В этом плане она имеет ощутимое геополитическое преимущество — мощным ресурсом противостояния деструктивным идеологиям и практикам «нового мирового порядка» является духовный опыт народа и отечественная гуманитарная культура, которая всегда пробуждала в человеке стремление и энергию духовного возвышения. Для превращения исторически накопленного духовного потенциала в реальный ресурс глобального противоборства необходима целенаправленная политика всех социально ответственных и морально вменяемых сил и структур, в том числе курирующих реформы института образования, который сегодня становится пространством битвы за настоящее и будущее России.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: глобальная антисистема, концепция управляемого хаоса, сценарии будущего, «антропологический суицид», кризис, гуманистическая миссия России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Марков, А. П. «Управляемая эволюция» как глобальный проект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посткапиталистического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будущего: замысел, стратегии, результаты (часть 2) / А. П. Марков // Вестник культуры и искусств. — 2025. — № 1 (81). — С. 68–76.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Огурцова Ольга Сергеевна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заместитель директора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по коммерческому развитию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Хакасский национальный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краеведческий музей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 xml:space="preserve">имени Л. Р.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Кызласова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Абакан,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color w:val="00000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: olgaogur@mail.ru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Этнографические коллекции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коренных малочисленных народов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музеев Южной Сибири и их отображение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в современном изобразительном искусстве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 xml:space="preserve">В данной статье анализируется состав этнографических коллекций музеев Южной Сибири, выявлено влияние данных коллекций на творческий процесс современных представителей нового художественного направления «сибирская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неоархаика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». Соотнесено творчество художников Хакасии 1970-х годов и представителей направления «сибирская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неоархаика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». В качестве проблемного поля обозначен вопрос объективности и корректности включения элементов культуры коренных малочисленных народов Южной Сибири в произведения современного изобразительного искусства.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культурология, искусство, этнографические коллекции, коренные малочисленные народы, сибирская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неоархаика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Южная Сибирь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Огурцова, О. С.</w:t>
      </w: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Этнографические коллекции коренных малочисленных народов музеев Южной Сибири и их отображение в современном изобразительном искусстве / О. С. Огурцова // Вестник культуры и искусств. — 2025. — № 1 (81). — С. 77–85.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Парамонов Ярослав Алексеевич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кафедры культурологии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 б??????????-??????????????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????????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???????????? ?????????????????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?????????? ???????????????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??????????? ????? ?. ?. ???????,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???????, ??????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paramonov-yarik@mail.ru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иблиотечно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-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информационных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br/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ресурсов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Национальный исследовательский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Мордовский государственный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университет имени Н. П. Огарева,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Саранск,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color w:val="00000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paramonov-yarik@mail.ru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proofErr w:type="spellStart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Фофанова</w:t>
      </w:r>
      <w:proofErr w:type="spellEnd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br/>
        <w:t>Катерина</w:t>
      </w:r>
      <w:r w:rsidRPr="00BD4381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</w:t>
      </w: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Владиславовна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социологических наук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профессор кафедры социологии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социальной работы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Национальный исследовательский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Мордовский государственный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университет имени Н. П. Огарева,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Саранск,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: kateri02@yandex.ru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Спорт в диалоге культур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Авторы статьи представили культурологическое исследование возможностей спорта в создании и формировании диалога культур. Рассмотрены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культурфилософские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концепции спорта в истории научной мысли, проанализированы примеры и практики, отражающие роль спорта в формировании конструктивных отношений и взаимодействий между странами и народами. Показано отличие технологий «мягкой силы» от диалогического концепта. Основу исследования составили социокультурный, структурно-функциональный, гуманистический подход к спорту. Теоретическими основаниями исследования послужила концепция диалога М. М. Бахтина. Результаты исследования заключаются в концептуализации роли спорта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>в диалоге культур, проиллюстрированного конкретными практиками из спортивной истории, и могут быть применены в сфере спортивной и культурной дипломатии.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диалог,</w:t>
      </w: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диалог культур, коммуникация, культура, спорт, спортивная дипломатия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Парамонов, Я. А. Спорт в диалоге культур / Я. А. Парамонов,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 xml:space="preserve">К. В.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Фофанова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// Вестник культуры и искусств. — 2025. — № 1 (81). — С. 86–94.</w:t>
      </w:r>
    </w:p>
    <w:p w:rsid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proofErr w:type="spellStart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Патерыкина</w:t>
      </w:r>
      <w:proofErr w:type="spellEnd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br/>
        <w:t>Валентина Васильевна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философских наук, профессор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Луганская государственная академия культуры и искусств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 xml:space="preserve">имени Михаила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Матусовского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Луганск,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ORCID: 0009-0008-9367-4130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zelenlist@mail.ru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Ищенко Нина Сергеевна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философских наук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Луганский государственный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аграрный университет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имени К. Е. Ворошилова,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Луганск,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ORCID 0000-0001-8616-7087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ninaofter@yandex.ru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Фольклорная и городская традиция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в песне Вени Д’ркина «Июль»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статье анализируется песня Александра Литвинова (псевдоним Веня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Д’ркин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) «Июль» (1996). Для анализа рок-текста используется культурологическая методология, при этом произведение рассматривается как волшебная сказка в терминологии В.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Проппа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посвященная инициации героя. Авторы показали, что с помощью поэтики постмодерна создается произведение, сюжет которого соответствует архаичной инициации в инвертированной форме. Проанализированы образы, связанные с инициацией. Показано, что символическую смерть переживает также автор, описывающий смерть друга, и проанализированы мифопоэтические средства выражения этого архаичного ритуала.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сказка, постмодерн,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метамодерн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цитатность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инициация, рок-поэзия, бард-рок, Веня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Д’ркин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Александр Литвинов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Патерыкина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В. В. Фольклорная и городская традиция в песне Вени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Д’ркина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«Июль» / В. В.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Патерыкина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, Н. С. Ищенко // Вестник культуры и искусств. — 2025. — № 1 (81). — С. 95–104.</w:t>
      </w:r>
    </w:p>
    <w:p w:rsidR="00BD4381" w:rsidRPr="00BD4381" w:rsidRDefault="00BD4381"/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proofErr w:type="spellStart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Фэн</w:t>
      </w:r>
      <w:proofErr w:type="spellEnd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 Цзин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Уральский федеральный университет имени первого Президента России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Б. Н. Ельцина, Екатеринбург,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>E-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: fengjing95@qq.com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proofErr w:type="spellStart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Кемерова</w:t>
      </w:r>
      <w:proofErr w:type="spellEnd"/>
      <w:r w:rsidRPr="00BD4381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br/>
        <w:t>Татьяна Александровна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философских наук, доцент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доцент кафедры культурологии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социально-культурной деятельности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Уральский федеральный университет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имени первого Президента России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Б. Н. Ельцина, Екатеринбург, Россия</w:t>
      </w:r>
    </w:p>
    <w:p w:rsidR="00BD4381" w:rsidRPr="00BD4381" w:rsidRDefault="00BD4381" w:rsidP="00BD4381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color w:val="000000"/>
          <w:lang w:val="en-US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tanya.kemerova@mail.ru</w:t>
      </w:r>
    </w:p>
    <w:p w:rsidR="00BD4381" w:rsidRPr="00BD4381" w:rsidRDefault="00BD4381" w:rsidP="00BD4381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Образ конфуцианского врача в системе</w:t>
      </w:r>
      <w:r w:rsidRPr="00BD4381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героических образов китайской культуры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Цель данной статьи — рассмотреть влияние китайской конфуцианской культуры на формирование героического образа конфуцианского врача. Новизна исследования заключается в выявлении культурной природы китайской традиционной медицины и роли конфуцианства в формировании героического образа врача. Авторы доказывают, что образ конфуцианского врача является частью системы героических образов китайской культуры. В статье также анализируются четыре характеристики героя в конфуцианском понимании и их проекции на медицинскую деятельность, которые сформировали героический образ конфуцианского врача.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конфуцианство, героический образ, конфуцианские врачи, человеколюбие, искренность, мудрость, мужество</w:t>
      </w:r>
    </w:p>
    <w:p w:rsidR="00BD4381" w:rsidRPr="00BD4381" w:rsidRDefault="00BD4381" w:rsidP="00BD4381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BD4381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Фэн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Цзин.</w:t>
      </w:r>
      <w:r w:rsidRPr="00BD4381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</w:t>
      </w:r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Образ конфуцианского врача в системе героических образов китайской культуры /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Фэн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Цзин, Т. А. </w:t>
      </w:r>
      <w:proofErr w:type="spellStart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>Кемерова</w:t>
      </w:r>
      <w:proofErr w:type="spellEnd"/>
      <w:r w:rsidRPr="00BD4381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// Вестник культуры и искусств. — 2025 — № 1 (81). — С. 105–115.</w:t>
      </w:r>
    </w:p>
    <w:p w:rsidR="00BD4381" w:rsidRDefault="00BD4381"/>
    <w:p w:rsidR="000A4E18" w:rsidRPr="000A4E18" w:rsidRDefault="000A4E18" w:rsidP="000A4E18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0A4E18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Шмаков</w:t>
      </w:r>
      <w:r w:rsidRPr="000A4E18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br/>
        <w:t>Александр Александрович</w:t>
      </w:r>
    </w:p>
    <w:p w:rsidR="000A4E18" w:rsidRPr="000A4E18" w:rsidRDefault="000A4E18" w:rsidP="000A4E18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аспирант,</w:t>
      </w:r>
    </w:p>
    <w:p w:rsidR="000A4E18" w:rsidRPr="000A4E18" w:rsidRDefault="000A4E18" w:rsidP="000A4E18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Омский государственный</w:t>
      </w: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университет имени Ф. М. Достоевского,</w:t>
      </w: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Омск, Россия</w:t>
      </w:r>
    </w:p>
    <w:p w:rsidR="000A4E18" w:rsidRPr="000A4E18" w:rsidRDefault="000A4E18" w:rsidP="000A4E18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color w:val="000000"/>
        </w:rPr>
      </w:pP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: ahmakov75@gmail.com</w:t>
      </w:r>
    </w:p>
    <w:p w:rsidR="000A4E18" w:rsidRPr="000A4E18" w:rsidRDefault="000A4E18" w:rsidP="000A4E18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0A4E18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Творчество Марты Грэм как отражение духа времени</w:t>
      </w:r>
    </w:p>
    <w:p w:rsidR="000A4E18" w:rsidRPr="000A4E18" w:rsidRDefault="000A4E18" w:rsidP="000A4E18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В статье поднимается вопрос о влиянии социокультурных факторов на развитие одного из направлений современного сценического танца — танц</w:t>
      </w:r>
      <w:bookmarkStart w:id="0" w:name="_GoBack"/>
      <w:bookmarkEnd w:id="0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а «модерн». Очерчиваются временные границы и выделяются сущностные признаки культурно-исторической эпохи модерн, выделяются четыре особенности танца «модерн», репрезентирующие дух своего времени. Делается вывод, что социокультурные факторы данной эпохи нашли прямое отражение в технике одноименного танца. Творчество М. </w:t>
      </w:r>
      <w:proofErr w:type="spellStart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Грэм</w:t>
      </w:r>
      <w:proofErr w:type="spellEnd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рассматривается в качестве яркой иллюстрации указанного танцевального направления.</w:t>
      </w:r>
    </w:p>
    <w:p w:rsidR="000A4E18" w:rsidRPr="000A4E18" w:rsidRDefault="000A4E18" w:rsidP="000A4E18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0A4E18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0A4E18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модерн, танец, культура, техника танца, репрезентация, сценический танец, танец модерн, социокультурный контекст</w:t>
      </w:r>
    </w:p>
    <w:p w:rsidR="00BD4381" w:rsidRPr="00BD4381" w:rsidRDefault="000A4E18" w:rsidP="000A4E18">
      <w:r w:rsidRPr="000A4E18">
        <w:rPr>
          <w:rFonts w:ascii="PT Astra Serif" w:hAnsi="PT Astra Serif" w:cs="PT Astra Serif"/>
          <w:b/>
          <w:bCs/>
          <w:color w:val="000000"/>
          <w:sz w:val="20"/>
          <w:szCs w:val="20"/>
        </w:rPr>
        <w:t>Для цитирования</w:t>
      </w:r>
      <w:r w:rsidRPr="000A4E18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Шмаков, А. А. Творчество Марты </w:t>
      </w:r>
      <w:proofErr w:type="spellStart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>Грэм</w:t>
      </w:r>
      <w:proofErr w:type="spellEnd"/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как отражение духа времени /</w:t>
      </w:r>
      <w:r w:rsidRPr="000A4E18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А. А. Шмаков // Вестник культуры и искусств. — 2025. — № 1 (81). — С. 116–121.</w:t>
      </w:r>
    </w:p>
    <w:sectPr w:rsidR="00BD4381" w:rsidRPr="00BD4381" w:rsidSect="00AC3F1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81" w:rsidRDefault="00BD4381" w:rsidP="00BD4381">
      <w:pPr>
        <w:spacing w:after="0" w:line="240" w:lineRule="auto"/>
      </w:pPr>
      <w:r>
        <w:separator/>
      </w:r>
    </w:p>
  </w:endnote>
  <w:endnote w:type="continuationSeparator" w:id="0">
    <w:p w:rsidR="00BD4381" w:rsidRDefault="00BD4381" w:rsidP="00BD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81" w:rsidRDefault="00BD4381" w:rsidP="00BD4381">
      <w:pPr>
        <w:spacing w:after="0" w:line="240" w:lineRule="auto"/>
      </w:pPr>
      <w:r>
        <w:separator/>
      </w:r>
    </w:p>
  </w:footnote>
  <w:footnote w:type="continuationSeparator" w:id="0">
    <w:p w:rsidR="00BD4381" w:rsidRDefault="00BD4381" w:rsidP="00BD4381">
      <w:pPr>
        <w:spacing w:after="0" w:line="240" w:lineRule="auto"/>
      </w:pPr>
      <w:r>
        <w:continuationSeparator/>
      </w:r>
    </w:p>
  </w:footnote>
  <w:footnote w:id="1">
    <w:p w:rsidR="00BD4381" w:rsidRDefault="00BD4381" w:rsidP="00BD4381">
      <w:pPr>
        <w:pStyle w:val="aa"/>
      </w:pPr>
      <w:r>
        <w:rPr>
          <w:vertAlign w:val="superscript"/>
        </w:rPr>
        <w:footnoteRef/>
      </w:r>
      <w:r>
        <w:t xml:space="preserve"> Окончание. Начало см.: Вестник культуры и искусств. 2024. № 4 (80).</w:t>
      </w:r>
    </w:p>
    <w:p w:rsidR="00BD4381" w:rsidRDefault="00BD4381" w:rsidP="00BD4381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81"/>
    <w:rsid w:val="000A4E18"/>
    <w:rsid w:val="004B4096"/>
    <w:rsid w:val="005824D3"/>
    <w:rsid w:val="00B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CC1"/>
  <w15:chartTrackingRefBased/>
  <w15:docId w15:val="{970F8617-FD81-4362-8631-01D0D215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uiPriority w:val="99"/>
    <w:rsid w:val="00BD4381"/>
    <w:pPr>
      <w:autoSpaceDE w:val="0"/>
      <w:autoSpaceDN w:val="0"/>
      <w:adjustRightInd w:val="0"/>
      <w:spacing w:after="113" w:line="288" w:lineRule="auto"/>
      <w:ind w:left="5669"/>
      <w:textAlignment w:val="center"/>
    </w:pPr>
    <w:rPr>
      <w:rFonts w:ascii="PT Astra Serif" w:hAnsi="PT Astra Serif" w:cs="PT Astra Serif"/>
      <w:b/>
      <w:bCs/>
      <w:i/>
      <w:iCs/>
      <w:color w:val="000000"/>
      <w:sz w:val="24"/>
      <w:szCs w:val="24"/>
    </w:rPr>
  </w:style>
  <w:style w:type="paragraph" w:customStyle="1" w:styleId="a4">
    <w:name w:val="Об авторе"/>
    <w:basedOn w:val="a"/>
    <w:uiPriority w:val="99"/>
    <w:rsid w:val="00BD4381"/>
    <w:pPr>
      <w:autoSpaceDE w:val="0"/>
      <w:autoSpaceDN w:val="0"/>
      <w:adjustRightInd w:val="0"/>
      <w:spacing w:after="113" w:line="288" w:lineRule="auto"/>
      <w:ind w:left="5669"/>
      <w:textAlignment w:val="center"/>
    </w:pPr>
    <w:rPr>
      <w:rFonts w:ascii="PT Astra Serif" w:hAnsi="PT Astra Serif" w:cs="PT Astra Serif"/>
      <w:i/>
      <w:iCs/>
      <w:color w:val="000000"/>
      <w:sz w:val="20"/>
      <w:szCs w:val="20"/>
    </w:rPr>
  </w:style>
  <w:style w:type="paragraph" w:styleId="a5">
    <w:name w:val="Title"/>
    <w:basedOn w:val="a"/>
    <w:link w:val="a6"/>
    <w:uiPriority w:val="99"/>
    <w:qFormat/>
    <w:rsid w:val="00BD4381"/>
    <w:pPr>
      <w:autoSpaceDE w:val="0"/>
      <w:autoSpaceDN w:val="0"/>
      <w:adjustRightInd w:val="0"/>
      <w:spacing w:before="397" w:after="397" w:line="288" w:lineRule="auto"/>
      <w:jc w:val="center"/>
      <w:textAlignment w:val="center"/>
    </w:pPr>
    <w:rPr>
      <w:rFonts w:ascii="PT Astra Serif" w:hAnsi="PT Astra Serif" w:cs="PT Astra Serif"/>
      <w:b/>
      <w:bCs/>
      <w:caps/>
      <w:color w:val="000000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BD4381"/>
    <w:rPr>
      <w:rFonts w:ascii="PT Astra Serif" w:hAnsi="PT Astra Serif" w:cs="PT Astra Serif"/>
      <w:b/>
      <w:bCs/>
      <w:caps/>
      <w:color w:val="000000"/>
      <w:sz w:val="24"/>
      <w:szCs w:val="24"/>
    </w:rPr>
  </w:style>
  <w:style w:type="paragraph" w:customStyle="1" w:styleId="a7">
    <w:name w:val="Аннотация"/>
    <w:basedOn w:val="a8"/>
    <w:uiPriority w:val="99"/>
    <w:rsid w:val="00BD4381"/>
    <w:pPr>
      <w:autoSpaceDE w:val="0"/>
      <w:autoSpaceDN w:val="0"/>
      <w:adjustRightInd w:val="0"/>
      <w:spacing w:after="227" w:line="240" w:lineRule="atLeast"/>
      <w:ind w:left="567" w:right="567" w:firstLine="567"/>
      <w:jc w:val="both"/>
      <w:textAlignment w:val="center"/>
    </w:pPr>
    <w:rPr>
      <w:rFonts w:ascii="PT Astra Serif" w:hAnsi="PT Astra Serif" w:cs="PT Astra Serif"/>
      <w:i/>
      <w:iCs/>
      <w:color w:val="000000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BD43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D4381"/>
    <w:rPr>
      <w:rFonts w:ascii="Consolas" w:hAnsi="Consolas"/>
      <w:sz w:val="21"/>
      <w:szCs w:val="21"/>
    </w:rPr>
  </w:style>
  <w:style w:type="paragraph" w:customStyle="1" w:styleId="aa">
    <w:name w:val="Сноска"/>
    <w:basedOn w:val="a8"/>
    <w:uiPriority w:val="99"/>
    <w:rsid w:val="00BD4381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PT Astra Serif" w:hAnsi="PT Astra Serif" w:cs="PT Astra Serif"/>
      <w:color w:val="000000"/>
      <w:sz w:val="19"/>
      <w:szCs w:val="19"/>
    </w:rPr>
  </w:style>
  <w:style w:type="paragraph" w:customStyle="1" w:styleId="ab">
    <w:name w:val="Автор (копия)"/>
    <w:basedOn w:val="a"/>
    <w:uiPriority w:val="99"/>
    <w:rsid w:val="00BD4381"/>
    <w:pPr>
      <w:autoSpaceDE w:val="0"/>
      <w:autoSpaceDN w:val="0"/>
      <w:adjustRightInd w:val="0"/>
      <w:spacing w:after="113" w:line="288" w:lineRule="auto"/>
      <w:ind w:left="5669"/>
      <w:textAlignment w:val="center"/>
    </w:pPr>
    <w:rPr>
      <w:rFonts w:ascii="PT Astra Sans" w:hAnsi="PT Astra Sans" w:cs="PT Astra Sans"/>
      <w:b/>
      <w:bCs/>
      <w:i/>
      <w:iCs/>
      <w:color w:val="000000"/>
      <w:sz w:val="24"/>
      <w:szCs w:val="24"/>
      <w:lang w:val="en-GB"/>
    </w:rPr>
  </w:style>
  <w:style w:type="paragraph" w:customStyle="1" w:styleId="ac">
    <w:name w:val="Об авторе (копия)"/>
    <w:basedOn w:val="a"/>
    <w:uiPriority w:val="99"/>
    <w:rsid w:val="00BD4381"/>
    <w:pPr>
      <w:autoSpaceDE w:val="0"/>
      <w:autoSpaceDN w:val="0"/>
      <w:adjustRightInd w:val="0"/>
      <w:spacing w:after="113" w:line="288" w:lineRule="auto"/>
      <w:ind w:left="5669"/>
      <w:textAlignment w:val="center"/>
    </w:pPr>
    <w:rPr>
      <w:rFonts w:ascii="PT Astra Sans" w:hAnsi="PT Astra Sans" w:cs="PT Astra Sans"/>
      <w:i/>
      <w:iCs/>
      <w:color w:val="000000"/>
      <w:sz w:val="20"/>
      <w:szCs w:val="20"/>
    </w:rPr>
  </w:style>
  <w:style w:type="paragraph" w:customStyle="1" w:styleId="ad">
    <w:name w:val="Заголовок (копия)"/>
    <w:basedOn w:val="a"/>
    <w:uiPriority w:val="99"/>
    <w:rsid w:val="00BD4381"/>
    <w:pPr>
      <w:autoSpaceDE w:val="0"/>
      <w:autoSpaceDN w:val="0"/>
      <w:adjustRightInd w:val="0"/>
      <w:spacing w:before="397" w:after="397" w:line="288" w:lineRule="auto"/>
      <w:jc w:val="center"/>
      <w:textAlignment w:val="center"/>
    </w:pPr>
    <w:rPr>
      <w:rFonts w:ascii="PT Astra Sans" w:hAnsi="PT Astra Sans" w:cs="PT Astra Sans"/>
      <w:b/>
      <w:bCs/>
      <w:color w:val="000000"/>
      <w:sz w:val="24"/>
      <w:szCs w:val="24"/>
      <w:lang w:val="en-GB"/>
    </w:rPr>
  </w:style>
  <w:style w:type="paragraph" w:customStyle="1" w:styleId="ae">
    <w:name w:val="Аннотация (копия)"/>
    <w:basedOn w:val="a8"/>
    <w:uiPriority w:val="99"/>
    <w:rsid w:val="00BD4381"/>
    <w:pPr>
      <w:autoSpaceDE w:val="0"/>
      <w:autoSpaceDN w:val="0"/>
      <w:adjustRightInd w:val="0"/>
      <w:spacing w:line="288" w:lineRule="auto"/>
      <w:ind w:left="567" w:right="567" w:firstLine="567"/>
      <w:jc w:val="both"/>
      <w:textAlignment w:val="center"/>
    </w:pPr>
    <w:rPr>
      <w:rFonts w:ascii="PT Astra Sans" w:hAnsi="PT Astra Sans" w:cs="PT Astra San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Елена Сергеевна</dc:creator>
  <cp:keywords/>
  <dc:description/>
  <cp:lastModifiedBy>Меньшенина Елена Сергеевна</cp:lastModifiedBy>
  <cp:revision>1</cp:revision>
  <dcterms:created xsi:type="dcterms:W3CDTF">2025-03-26T04:16:00Z</dcterms:created>
  <dcterms:modified xsi:type="dcterms:W3CDTF">2025-03-26T04:29:00Z</dcterms:modified>
</cp:coreProperties>
</file>